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2CBD" w14:textId="77777777" w:rsidR="00BB3661" w:rsidRPr="00BB3661" w:rsidRDefault="00BB3661" w:rsidP="00BB3661">
      <w:pPr>
        <w:autoSpaceDE/>
        <w:autoSpaceDN/>
        <w:adjustRightInd/>
        <w:ind w:left="144"/>
        <w:jc w:val="center"/>
        <w:rPr>
          <w:b/>
          <w:i/>
        </w:rPr>
      </w:pPr>
      <w:r w:rsidRPr="00BB3661">
        <w:rPr>
          <w:b/>
          <w:i/>
        </w:rPr>
        <w:t>CIBL Inc.</w:t>
      </w:r>
    </w:p>
    <w:p w14:paraId="35785260" w14:textId="1BDDCB3E" w:rsidR="00BB3661" w:rsidRPr="00BB3661" w:rsidRDefault="00BB3661" w:rsidP="00BB3661">
      <w:pPr>
        <w:autoSpaceDE/>
        <w:autoSpaceDN/>
        <w:adjustRightInd/>
        <w:ind w:left="144"/>
        <w:jc w:val="center"/>
        <w:rPr>
          <w:b/>
          <w:i/>
          <w:color w:val="333333"/>
        </w:rPr>
      </w:pPr>
      <w:r w:rsidRPr="00BB3661">
        <w:rPr>
          <w:b/>
          <w:i/>
          <w:color w:val="333333"/>
        </w:rPr>
        <w:t xml:space="preserve">165 West Liberty Street, Suite 210 </w:t>
      </w:r>
      <w:r w:rsidRPr="00BB3661">
        <w:rPr>
          <w:b/>
          <w:i/>
          <w:color w:val="333333"/>
        </w:rPr>
        <w:br/>
        <w:t>Reno, NV 89501</w:t>
      </w:r>
      <w:r w:rsidRPr="00BB3661">
        <w:rPr>
          <w:b/>
          <w:i/>
          <w:color w:val="333333"/>
        </w:rPr>
        <w:br/>
        <w:t>(775) 329-8555</w:t>
      </w:r>
    </w:p>
    <w:p w14:paraId="5D41D199" w14:textId="77777777" w:rsidR="00EA464C" w:rsidRDefault="00EA464C" w:rsidP="00BB3661">
      <w:pPr>
        <w:autoSpaceDE/>
        <w:autoSpaceDN/>
        <w:adjustRightInd/>
        <w:ind w:left="144"/>
        <w:jc w:val="both"/>
        <w:rPr>
          <w:i/>
          <w:iCs/>
        </w:rPr>
      </w:pPr>
    </w:p>
    <w:p w14:paraId="08B736D6" w14:textId="6E6C4BC9" w:rsidR="009D0EC7" w:rsidRDefault="00BB3661" w:rsidP="00BB3661">
      <w:pPr>
        <w:autoSpaceDE/>
        <w:autoSpaceDN/>
        <w:adjustRightInd/>
        <w:ind w:left="144"/>
        <w:jc w:val="both"/>
        <w:rPr>
          <w:i/>
          <w:iCs/>
        </w:rPr>
      </w:pPr>
      <w:r w:rsidRPr="003D74F7">
        <w:rPr>
          <w:i/>
          <w:iCs/>
        </w:rPr>
        <w:t>To our shareholders:</w:t>
      </w:r>
    </w:p>
    <w:p w14:paraId="255354B6" w14:textId="77777777" w:rsidR="00EA464C" w:rsidRDefault="00EA464C" w:rsidP="009D0EC7"/>
    <w:p w14:paraId="25101CDF" w14:textId="51EC856F" w:rsidR="00BB3661" w:rsidRPr="00BB3661" w:rsidRDefault="00BB3661" w:rsidP="00BB3661">
      <w:pPr>
        <w:autoSpaceDE/>
        <w:autoSpaceDN/>
        <w:adjustRightInd/>
        <w:ind w:left="144"/>
        <w:jc w:val="both"/>
      </w:pPr>
      <w:r w:rsidRPr="00BB3661">
        <w:t xml:space="preserve">CIBL’s </w:t>
      </w:r>
      <w:r w:rsidR="00CE7F01">
        <w:t xml:space="preserve">cash and equivalents and investment </w:t>
      </w:r>
      <w:r w:rsidRPr="00BB3661">
        <w:t>assets a</w:t>
      </w:r>
      <w:r w:rsidR="001572BE">
        <w:t xml:space="preserve">s of </w:t>
      </w:r>
      <w:r w:rsidR="007E1167">
        <w:t>September</w:t>
      </w:r>
      <w:r w:rsidR="0086127E">
        <w:t xml:space="preserve"> 3</w:t>
      </w:r>
      <w:r w:rsidR="005C705D">
        <w:t>0</w:t>
      </w:r>
      <w:r w:rsidR="0086127E">
        <w:t>, 2021</w:t>
      </w:r>
      <w:r w:rsidR="008B171B">
        <w:t>,</w:t>
      </w:r>
      <w:r w:rsidR="00AF4271">
        <w:t xml:space="preserve"> </w:t>
      </w:r>
      <w:r w:rsidRPr="00BB3661">
        <w:t>consisted of:</w:t>
      </w:r>
    </w:p>
    <w:p w14:paraId="763069F4" w14:textId="77777777" w:rsidR="00BB3661" w:rsidRPr="00BB3661" w:rsidRDefault="00BB3661" w:rsidP="00BB3661">
      <w:pPr>
        <w:autoSpaceDE/>
        <w:autoSpaceDN/>
        <w:adjustRightInd/>
        <w:ind w:left="144"/>
        <w:jc w:val="both"/>
      </w:pPr>
    </w:p>
    <w:p w14:paraId="3A5DB8C4" w14:textId="1BC58BB5" w:rsidR="00BB3661" w:rsidRDefault="00BB3661" w:rsidP="002568E9">
      <w:pPr>
        <w:numPr>
          <w:ilvl w:val="0"/>
          <w:numId w:val="34"/>
        </w:numPr>
        <w:autoSpaceDE/>
        <w:autoSpaceDN/>
        <w:adjustRightInd/>
        <w:spacing w:after="360" w:line="259" w:lineRule="auto"/>
        <w:contextualSpacing/>
        <w:jc w:val="both"/>
      </w:pPr>
      <w:r w:rsidRPr="001572BE">
        <w:t>Cas</w:t>
      </w:r>
      <w:r w:rsidR="00CE7F01">
        <w:t xml:space="preserve">h and </w:t>
      </w:r>
      <w:r w:rsidRPr="001572BE">
        <w:t>United States Treasury investments</w:t>
      </w:r>
      <w:r w:rsidR="00F3736E" w:rsidRPr="001572BE">
        <w:t xml:space="preserve"> of $</w:t>
      </w:r>
      <w:r w:rsidR="001572BE" w:rsidRPr="001572BE">
        <w:t>2</w:t>
      </w:r>
      <w:r w:rsidR="00131A0B">
        <w:t>6</w:t>
      </w:r>
      <w:r w:rsidR="00F3736E" w:rsidRPr="001572BE">
        <w:t>.</w:t>
      </w:r>
      <w:r w:rsidR="00437B67">
        <w:t>1</w:t>
      </w:r>
      <w:r w:rsidR="00F3736E" w:rsidRPr="001572BE">
        <w:t xml:space="preserve"> million </w:t>
      </w:r>
      <w:r w:rsidRPr="001572BE">
        <w:t>and an investment merger</w:t>
      </w:r>
      <w:r w:rsidR="000C6B56" w:rsidRPr="001572BE">
        <w:t xml:space="preserve"> limited partnership</w:t>
      </w:r>
      <w:r w:rsidRPr="001572BE">
        <w:t xml:space="preserve"> of $</w:t>
      </w:r>
      <w:r w:rsidR="00F3736E" w:rsidRPr="001572BE">
        <w:t>1</w:t>
      </w:r>
      <w:r w:rsidR="00217E84" w:rsidRPr="001572BE">
        <w:t>.</w:t>
      </w:r>
      <w:r w:rsidR="00131A0B">
        <w:t>7</w:t>
      </w:r>
      <w:r w:rsidR="00D77DC7" w:rsidRPr="001572BE">
        <w:t xml:space="preserve"> </w:t>
      </w:r>
      <w:r w:rsidRPr="001572BE">
        <w:t xml:space="preserve">million, </w:t>
      </w:r>
      <w:r w:rsidRPr="00661321">
        <w:t>or $1,</w:t>
      </w:r>
      <w:r w:rsidR="001873FA" w:rsidRPr="00661321">
        <w:t>8</w:t>
      </w:r>
      <w:r w:rsidR="00661321" w:rsidRPr="00661321">
        <w:t xml:space="preserve">37 </w:t>
      </w:r>
      <w:r w:rsidRPr="00661321">
        <w:t>per share</w:t>
      </w:r>
      <w:r w:rsidR="001319F4" w:rsidRPr="00661321">
        <w:t>.</w:t>
      </w:r>
      <w:r w:rsidR="001319F4" w:rsidRPr="001572BE">
        <w:t xml:space="preserve"> </w:t>
      </w:r>
      <w:r w:rsidRPr="001572BE">
        <w:t>A</w:t>
      </w:r>
      <w:r w:rsidR="001572BE" w:rsidRPr="001572BE">
        <w:t xml:space="preserve">s of </w:t>
      </w:r>
      <w:r w:rsidR="00437B67">
        <w:t xml:space="preserve">September </w:t>
      </w:r>
      <w:r w:rsidR="008B171B" w:rsidRPr="001572BE">
        <w:t>3</w:t>
      </w:r>
      <w:r w:rsidR="005C705D">
        <w:t>0</w:t>
      </w:r>
      <w:r w:rsidR="008B171B" w:rsidRPr="001572BE">
        <w:t>,</w:t>
      </w:r>
      <w:r w:rsidR="00AF4271" w:rsidRPr="001572BE">
        <w:t xml:space="preserve"> 202</w:t>
      </w:r>
      <w:r w:rsidR="0086127E">
        <w:t>1</w:t>
      </w:r>
      <w:r w:rsidRPr="001572BE">
        <w:t>, CIBL had 1</w:t>
      </w:r>
      <w:r w:rsidR="00131A0B">
        <w:t>5</w:t>
      </w:r>
      <w:r w:rsidRPr="001572BE">
        <w:t>,</w:t>
      </w:r>
      <w:r w:rsidR="00437B67">
        <w:t xml:space="preserve">169 </w:t>
      </w:r>
      <w:r w:rsidRPr="001572BE">
        <w:t>common shares outstanding</w:t>
      </w:r>
      <w:r w:rsidR="001F3FEA" w:rsidRPr="001572BE">
        <w:t>.</w:t>
      </w:r>
    </w:p>
    <w:p w14:paraId="51A512BF" w14:textId="163DC337" w:rsidR="002568E9" w:rsidRDefault="002568E9" w:rsidP="002568E9">
      <w:pPr>
        <w:numPr>
          <w:ilvl w:val="0"/>
          <w:numId w:val="34"/>
        </w:numPr>
        <w:autoSpaceDE/>
        <w:autoSpaceDN/>
        <w:adjustRightInd/>
        <w:spacing w:after="360" w:line="259" w:lineRule="auto"/>
        <w:contextualSpacing/>
        <w:jc w:val="both"/>
      </w:pPr>
      <w:r>
        <w:t>Owners</w:t>
      </w:r>
      <w:r w:rsidR="007A46C9">
        <w:t>hip</w:t>
      </w:r>
      <w:r>
        <w:t xml:space="preserve"> of Bretton Woods Telephone Company and World Surfer, Inc. providers of broadband and communication services in Northern New Hampshire.</w:t>
      </w:r>
    </w:p>
    <w:p w14:paraId="4BE7B8E7" w14:textId="77777777" w:rsidR="00F3736E" w:rsidRDefault="00F3736E">
      <w:pPr>
        <w:numPr>
          <w:ilvl w:val="0"/>
          <w:numId w:val="34"/>
        </w:numPr>
        <w:autoSpaceDE/>
        <w:autoSpaceDN/>
        <w:adjustRightInd/>
        <w:spacing w:after="160" w:line="259" w:lineRule="auto"/>
        <w:contextualSpacing/>
        <w:jc w:val="both"/>
      </w:pPr>
      <w:r w:rsidRPr="001E353E">
        <w:t>10,000</w:t>
      </w:r>
      <w:r w:rsidRPr="00BB3661">
        <w:t xml:space="preserve"> shares in </w:t>
      </w:r>
      <w:proofErr w:type="spellStart"/>
      <w:r w:rsidRPr="00BB3661">
        <w:t>Solix</w:t>
      </w:r>
      <w:proofErr w:type="spellEnd"/>
      <w:r w:rsidRPr="00BB3661">
        <w:t xml:space="preserve">, Inc., a private outsourcing firm that provides, among other services, </w:t>
      </w:r>
      <w:r>
        <w:t>Universal Service Fund (“USF”) administration services to the telecommunications industry</w:t>
      </w:r>
      <w:r w:rsidRPr="00BB3661">
        <w:t>.</w:t>
      </w:r>
    </w:p>
    <w:p w14:paraId="340B5EDA" w14:textId="77777777" w:rsidR="00D941D4" w:rsidRDefault="00D941D4" w:rsidP="00D941D4">
      <w:pPr>
        <w:autoSpaceDE/>
        <w:autoSpaceDN/>
        <w:adjustRightInd/>
        <w:spacing w:after="160" w:line="259" w:lineRule="auto"/>
        <w:ind w:left="768"/>
        <w:contextualSpacing/>
        <w:jc w:val="both"/>
      </w:pPr>
    </w:p>
    <w:p w14:paraId="204AFA76" w14:textId="29E79BB8" w:rsidR="00BC4D8C" w:rsidRDefault="00092D33" w:rsidP="004A7399">
      <w:pPr>
        <w:autoSpaceDE/>
        <w:autoSpaceDN/>
        <w:adjustRightInd/>
        <w:spacing w:after="160" w:line="259" w:lineRule="auto"/>
        <w:contextualSpacing/>
        <w:jc w:val="both"/>
      </w:pPr>
      <w:r>
        <w:t>R</w:t>
      </w:r>
      <w:r w:rsidR="006F6C19" w:rsidRPr="004E18B0">
        <w:t>evenue</w:t>
      </w:r>
      <w:r w:rsidR="006F6C19">
        <w:t xml:space="preserve">s </w:t>
      </w:r>
      <w:r w:rsidR="006F6C19" w:rsidRPr="004E18B0">
        <w:t xml:space="preserve">for the </w:t>
      </w:r>
      <w:r w:rsidR="006F6C19">
        <w:t>third</w:t>
      </w:r>
      <w:r w:rsidR="006F6C19" w:rsidRPr="004E18B0">
        <w:t xml:space="preserve"> quarter </w:t>
      </w:r>
      <w:r w:rsidR="006F6C19">
        <w:t xml:space="preserve">ended September 30, 2021, </w:t>
      </w:r>
      <w:r w:rsidR="00CE7F01">
        <w:t xml:space="preserve">increased </w:t>
      </w:r>
      <w:r w:rsidR="006F6C19" w:rsidRPr="004E18B0">
        <w:t>to $4</w:t>
      </w:r>
      <w:r w:rsidR="006F6C19">
        <w:t>78</w:t>
      </w:r>
      <w:r w:rsidR="006F6C19" w:rsidRPr="004E18B0">
        <w:t>,000 from $</w:t>
      </w:r>
      <w:r w:rsidR="006F6C19">
        <w:t>460</w:t>
      </w:r>
      <w:r w:rsidR="006F6C19" w:rsidRPr="004E18B0">
        <w:t xml:space="preserve">,000 </w:t>
      </w:r>
      <w:r w:rsidR="006F6C19">
        <w:t xml:space="preserve">for the </w:t>
      </w:r>
      <w:r w:rsidR="00C77C8E">
        <w:t>prior year</w:t>
      </w:r>
      <w:r w:rsidR="006F6C19" w:rsidRPr="004E18B0">
        <w:t xml:space="preserve">, while EBITDA </w:t>
      </w:r>
      <w:r w:rsidR="00CE7F01">
        <w:t xml:space="preserve">increased by $30,000 to </w:t>
      </w:r>
      <w:r w:rsidR="006F6C19" w:rsidRPr="004E18B0">
        <w:t>$1</w:t>
      </w:r>
      <w:r w:rsidR="006F6C19">
        <w:t>52</w:t>
      </w:r>
      <w:r w:rsidR="006F6C19" w:rsidRPr="004E18B0">
        <w:t>,000</w:t>
      </w:r>
      <w:r w:rsidR="00CE7F01">
        <w:t xml:space="preserve"> from $122,000.</w:t>
      </w:r>
      <w:r w:rsidR="004E32C3">
        <w:t xml:space="preserve"> </w:t>
      </w:r>
      <w:r w:rsidR="00CE7F01">
        <w:t>W</w:t>
      </w:r>
      <w:r w:rsidR="00BB3661" w:rsidRPr="006E255A">
        <w:t>e repurchased</w:t>
      </w:r>
      <w:r w:rsidR="00203CB8">
        <w:t xml:space="preserve"> </w:t>
      </w:r>
      <w:r w:rsidR="00E70A51">
        <w:t xml:space="preserve">1,035 </w:t>
      </w:r>
      <w:r w:rsidR="00BB3661" w:rsidRPr="006E255A">
        <w:t xml:space="preserve">of our common </w:t>
      </w:r>
      <w:r w:rsidR="00BB3661" w:rsidRPr="00BD0499">
        <w:t>shares</w:t>
      </w:r>
      <w:r w:rsidR="00BB3661" w:rsidRPr="00E70A51">
        <w:t xml:space="preserve">, </w:t>
      </w:r>
      <w:r w:rsidR="00E70A51" w:rsidRPr="00E70A51">
        <w:t>7</w:t>
      </w:r>
      <w:r w:rsidR="00AF3A4A" w:rsidRPr="00E70A51">
        <w:t>.0</w:t>
      </w:r>
      <w:r w:rsidR="00BB3661" w:rsidRPr="00E70A51">
        <w:t>%</w:t>
      </w:r>
      <w:r w:rsidR="00BB3661" w:rsidRPr="006E255A">
        <w:t xml:space="preserve"> of our total shares outstanding</w:t>
      </w:r>
      <w:r w:rsidR="00C474B3" w:rsidRPr="006E255A">
        <w:t>,</w:t>
      </w:r>
      <w:r w:rsidR="00BB3661" w:rsidRPr="006E255A">
        <w:t xml:space="preserve"> at an average price </w:t>
      </w:r>
      <w:r w:rsidR="00BB3661" w:rsidRPr="00694A1F">
        <w:t xml:space="preserve">of </w:t>
      </w:r>
      <w:r w:rsidR="004A7399" w:rsidRPr="00694A1F">
        <w:t>$</w:t>
      </w:r>
      <w:r w:rsidR="007772C7" w:rsidRPr="00694A1F">
        <w:t>1,7</w:t>
      </w:r>
      <w:r w:rsidR="00E70A51">
        <w:t xml:space="preserve">79 </w:t>
      </w:r>
      <w:r w:rsidR="004A7399" w:rsidRPr="00694A1F">
        <w:t>per share.</w:t>
      </w:r>
      <w:r w:rsidR="004A7399" w:rsidRPr="006E255A">
        <w:t xml:space="preserve"> </w:t>
      </w:r>
      <w:r w:rsidR="00BB3661" w:rsidRPr="006E255A">
        <w:t>CIBL’s shares trade on OTC Pink®: CIBY.</w:t>
      </w:r>
      <w:r w:rsidR="00BB3661" w:rsidRPr="00BB3661">
        <w:t xml:space="preserve"> </w:t>
      </w:r>
    </w:p>
    <w:p w14:paraId="36998D9D" w14:textId="77777777" w:rsidR="00BC4D8C" w:rsidRDefault="00BC4D8C" w:rsidP="004A7399">
      <w:pPr>
        <w:autoSpaceDE/>
        <w:autoSpaceDN/>
        <w:adjustRightInd/>
        <w:spacing w:after="160" w:line="259" w:lineRule="auto"/>
        <w:contextualSpacing/>
        <w:jc w:val="both"/>
      </w:pPr>
    </w:p>
    <w:p w14:paraId="6223F93B" w14:textId="0CD94410" w:rsidR="006E255A" w:rsidRPr="00277A44" w:rsidRDefault="006E255A" w:rsidP="007E1167">
      <w:pPr>
        <w:autoSpaceDE/>
        <w:autoSpaceDN/>
        <w:adjustRightInd/>
        <w:spacing w:after="160" w:line="259" w:lineRule="auto"/>
        <w:contextualSpacing/>
        <w:jc w:val="both"/>
        <w:rPr>
          <w:bCs/>
        </w:rPr>
      </w:pPr>
      <w:r w:rsidRPr="008E4646">
        <w:rPr>
          <w:bCs/>
        </w:rPr>
        <w:t>The COVID-19 pandemic has impacted</w:t>
      </w:r>
      <w:r>
        <w:rPr>
          <w:bCs/>
        </w:rPr>
        <w:t xml:space="preserve"> the health and economics of</w:t>
      </w:r>
      <w:r w:rsidRPr="008E4646">
        <w:rPr>
          <w:bCs/>
        </w:rPr>
        <w:t xml:space="preserve"> our nation and the world. </w:t>
      </w:r>
      <w:r w:rsidR="000146BA">
        <w:rPr>
          <w:bCs/>
        </w:rPr>
        <w:t xml:space="preserve">Throughout, we </w:t>
      </w:r>
      <w:r>
        <w:rPr>
          <w:bCs/>
        </w:rPr>
        <w:t>continue</w:t>
      </w:r>
      <w:r w:rsidR="000146BA">
        <w:rPr>
          <w:bCs/>
        </w:rPr>
        <w:t>d</w:t>
      </w:r>
      <w:r>
        <w:rPr>
          <w:bCs/>
        </w:rPr>
        <w:t xml:space="preserve"> to provide service when</w:t>
      </w:r>
      <w:r w:rsidRPr="008E4646">
        <w:rPr>
          <w:bCs/>
        </w:rPr>
        <w:t xml:space="preserve"> </w:t>
      </w:r>
      <w:r w:rsidR="000146BA">
        <w:rPr>
          <w:bCs/>
        </w:rPr>
        <w:t xml:space="preserve">to our </w:t>
      </w:r>
      <w:r w:rsidRPr="008E4646">
        <w:rPr>
          <w:bCs/>
        </w:rPr>
        <w:t xml:space="preserve"> communi</w:t>
      </w:r>
      <w:r>
        <w:rPr>
          <w:bCs/>
        </w:rPr>
        <w:t>ties</w:t>
      </w:r>
      <w:r w:rsidRPr="008E4646">
        <w:rPr>
          <w:bCs/>
        </w:rPr>
        <w:t>. To that end, we have taken several steps to make sure that our customers and communit</w:t>
      </w:r>
      <w:r>
        <w:rPr>
          <w:bCs/>
        </w:rPr>
        <w:t>ies</w:t>
      </w:r>
      <w:r w:rsidRPr="008E4646">
        <w:rPr>
          <w:bCs/>
        </w:rPr>
        <w:t xml:space="preserve"> stay connected to loved ones and have access to information</w:t>
      </w:r>
      <w:r>
        <w:rPr>
          <w:bCs/>
        </w:rPr>
        <w:t>, including modifying how we handle repairs and installations in accordance with CDC and New Hampshire guidelines.</w:t>
      </w:r>
      <w:r w:rsidRPr="008E4646">
        <w:rPr>
          <w:bCs/>
        </w:rPr>
        <w:t xml:space="preserve"> </w:t>
      </w:r>
    </w:p>
    <w:p w14:paraId="76742E5F" w14:textId="77777777" w:rsidR="006E255A" w:rsidRDefault="006E255A" w:rsidP="004A7399">
      <w:pPr>
        <w:autoSpaceDE/>
        <w:autoSpaceDN/>
        <w:adjustRightInd/>
        <w:spacing w:after="160" w:line="259" w:lineRule="auto"/>
        <w:contextualSpacing/>
        <w:jc w:val="both"/>
      </w:pPr>
    </w:p>
    <w:p w14:paraId="44A99BA4" w14:textId="114D5D30" w:rsidR="00BB3661" w:rsidRPr="004A7399" w:rsidRDefault="00BB3661" w:rsidP="004A7399">
      <w:pPr>
        <w:rPr>
          <w:rFonts w:eastAsia="Calibri"/>
        </w:rPr>
      </w:pPr>
      <w:r w:rsidRPr="004A7399">
        <w:rPr>
          <w:rFonts w:eastAsia="Calibri"/>
        </w:rPr>
        <w:t xml:space="preserve">If you have any comments or questions, please contact us at the above or e-mail us at: </w:t>
      </w:r>
      <w:hyperlink r:id="rId8" w:history="1">
        <w:r w:rsidRPr="004A7399">
          <w:rPr>
            <w:rFonts w:eastAsia="Calibri"/>
          </w:rPr>
          <w:t>office@ciblinc.com</w:t>
        </w:r>
      </w:hyperlink>
      <w:r w:rsidRPr="004A7399">
        <w:rPr>
          <w:rFonts w:eastAsia="Calibri"/>
        </w:rPr>
        <w:t>, or visit us on our website: ciblinc.com.</w:t>
      </w:r>
    </w:p>
    <w:p w14:paraId="449AF673" w14:textId="77777777" w:rsidR="00333CFA" w:rsidRDefault="00333CFA" w:rsidP="00BB3661">
      <w:pPr>
        <w:autoSpaceDE/>
        <w:autoSpaceDN/>
        <w:adjustRightInd/>
        <w:ind w:left="4320" w:firstLine="720"/>
        <w:jc w:val="both"/>
        <w:outlineLvl w:val="0"/>
      </w:pPr>
    </w:p>
    <w:p w14:paraId="39CA1978" w14:textId="77777777" w:rsidR="00333CFA" w:rsidRDefault="00333CFA" w:rsidP="00BB3661">
      <w:pPr>
        <w:autoSpaceDE/>
        <w:autoSpaceDN/>
        <w:adjustRightInd/>
        <w:ind w:left="4320" w:firstLine="720"/>
        <w:jc w:val="both"/>
        <w:outlineLvl w:val="0"/>
      </w:pPr>
    </w:p>
    <w:p w14:paraId="780DCD13" w14:textId="77777777" w:rsidR="00EA464C" w:rsidRDefault="00EA464C" w:rsidP="009E0EDC">
      <w:pPr>
        <w:autoSpaceDE/>
        <w:adjustRightInd/>
        <w:jc w:val="both"/>
        <w:outlineLvl w:val="0"/>
        <w:rPr>
          <w:b/>
          <w:color w:val="000000"/>
        </w:rPr>
      </w:pPr>
    </w:p>
    <w:p w14:paraId="2EEEB201" w14:textId="77777777" w:rsidR="00EA464C" w:rsidRDefault="00EA464C" w:rsidP="009E0EDC">
      <w:pPr>
        <w:autoSpaceDE/>
        <w:adjustRightInd/>
        <w:jc w:val="both"/>
        <w:outlineLvl w:val="0"/>
        <w:rPr>
          <w:b/>
          <w:color w:val="000000"/>
        </w:rPr>
      </w:pPr>
    </w:p>
    <w:p w14:paraId="3777E998" w14:textId="77777777" w:rsidR="0086127E" w:rsidRDefault="0086127E" w:rsidP="009E0EDC">
      <w:pPr>
        <w:autoSpaceDE/>
        <w:adjustRightInd/>
        <w:jc w:val="both"/>
        <w:outlineLvl w:val="0"/>
        <w:rPr>
          <w:b/>
          <w:color w:val="000000"/>
        </w:rPr>
      </w:pPr>
    </w:p>
    <w:p w14:paraId="293A3FD8" w14:textId="77777777" w:rsidR="0086127E" w:rsidRDefault="0086127E" w:rsidP="009E0EDC">
      <w:pPr>
        <w:autoSpaceDE/>
        <w:adjustRightInd/>
        <w:jc w:val="both"/>
        <w:outlineLvl w:val="0"/>
        <w:rPr>
          <w:b/>
          <w:color w:val="000000"/>
        </w:rPr>
      </w:pPr>
    </w:p>
    <w:p w14:paraId="0C490E99" w14:textId="77777777" w:rsidR="0086127E" w:rsidRDefault="0086127E" w:rsidP="009E0EDC">
      <w:pPr>
        <w:autoSpaceDE/>
        <w:adjustRightInd/>
        <w:jc w:val="both"/>
        <w:outlineLvl w:val="0"/>
        <w:rPr>
          <w:b/>
          <w:color w:val="000000"/>
        </w:rPr>
      </w:pPr>
    </w:p>
    <w:p w14:paraId="46C6B590" w14:textId="77211A4E" w:rsidR="00D873BD" w:rsidRDefault="00D873BD">
      <w:pPr>
        <w:autoSpaceDE/>
        <w:autoSpaceDN/>
        <w:adjustRightInd/>
        <w:spacing w:after="160" w:line="259" w:lineRule="auto"/>
        <w:rPr>
          <w:b/>
          <w:color w:val="000000"/>
        </w:rPr>
      </w:pPr>
      <w:r>
        <w:rPr>
          <w:b/>
          <w:color w:val="000000"/>
        </w:rPr>
        <w:br w:type="page"/>
      </w:r>
    </w:p>
    <w:p w14:paraId="6FB4F11D" w14:textId="77777777" w:rsidR="005C73A6" w:rsidRPr="00286466" w:rsidRDefault="005C73A6" w:rsidP="005C73A6">
      <w:pPr>
        <w:autoSpaceDE/>
        <w:autoSpaceDN/>
        <w:adjustRightInd/>
        <w:spacing w:line="320" w:lineRule="atLeast"/>
        <w:ind w:left="144"/>
        <w:jc w:val="center"/>
        <w:rPr>
          <w:b/>
          <w:sz w:val="32"/>
          <w:szCs w:val="32"/>
        </w:rPr>
      </w:pPr>
      <w:r w:rsidRPr="00286466">
        <w:rPr>
          <w:b/>
          <w:sz w:val="32"/>
          <w:szCs w:val="32"/>
        </w:rPr>
        <w:lastRenderedPageBreak/>
        <w:t>CIBL, Inc. and Subsidiaries</w:t>
      </w:r>
    </w:p>
    <w:p w14:paraId="0B92D542" w14:textId="77777777" w:rsidR="005C73A6" w:rsidRPr="00873CEA" w:rsidRDefault="005C73A6" w:rsidP="00873CEA">
      <w:pPr>
        <w:autoSpaceDE/>
        <w:autoSpaceDN/>
        <w:adjustRightInd/>
        <w:ind w:left="144"/>
        <w:jc w:val="center"/>
        <w:rPr>
          <w:b/>
          <w:sz w:val="16"/>
          <w:szCs w:val="16"/>
        </w:rPr>
      </w:pPr>
    </w:p>
    <w:p w14:paraId="1B0BF1DC" w14:textId="77777777" w:rsidR="005C73A6" w:rsidRPr="00286466" w:rsidRDefault="005C73A6" w:rsidP="005C73A6">
      <w:pPr>
        <w:autoSpaceDE/>
        <w:autoSpaceDN/>
        <w:adjustRightInd/>
        <w:spacing w:line="320" w:lineRule="atLeast"/>
        <w:ind w:left="144"/>
        <w:jc w:val="center"/>
        <w:rPr>
          <w:b/>
          <w:sz w:val="32"/>
          <w:szCs w:val="32"/>
        </w:rPr>
      </w:pPr>
      <w:r w:rsidRPr="00286466">
        <w:rPr>
          <w:b/>
          <w:sz w:val="32"/>
          <w:szCs w:val="32"/>
        </w:rPr>
        <w:t>Financial Report to Shareholders</w:t>
      </w:r>
    </w:p>
    <w:p w14:paraId="344A5732" w14:textId="77777777" w:rsidR="005C73A6" w:rsidRPr="00873CEA" w:rsidRDefault="005C73A6" w:rsidP="00873CEA">
      <w:pPr>
        <w:autoSpaceDE/>
        <w:autoSpaceDN/>
        <w:adjustRightInd/>
        <w:ind w:left="144"/>
        <w:rPr>
          <w:b/>
          <w:sz w:val="16"/>
          <w:szCs w:val="16"/>
        </w:rPr>
      </w:pPr>
    </w:p>
    <w:p w14:paraId="22FFDD93" w14:textId="3E59CDA6" w:rsidR="005C73A6" w:rsidRPr="00286466" w:rsidRDefault="007E1167" w:rsidP="005C73A6">
      <w:pPr>
        <w:jc w:val="center"/>
        <w:rPr>
          <w:b/>
          <w:bCs/>
          <w:sz w:val="32"/>
          <w:szCs w:val="32"/>
        </w:rPr>
      </w:pPr>
      <w:r>
        <w:rPr>
          <w:b/>
          <w:bCs/>
          <w:sz w:val="32"/>
          <w:szCs w:val="32"/>
        </w:rPr>
        <w:t>September</w:t>
      </w:r>
      <w:r w:rsidR="005C73A6" w:rsidRPr="00286466">
        <w:rPr>
          <w:b/>
          <w:bCs/>
          <w:sz w:val="32"/>
          <w:szCs w:val="32"/>
        </w:rPr>
        <w:t xml:space="preserve"> 3</w:t>
      </w:r>
      <w:r w:rsidR="005C705D">
        <w:rPr>
          <w:b/>
          <w:bCs/>
          <w:sz w:val="32"/>
          <w:szCs w:val="32"/>
        </w:rPr>
        <w:t>0</w:t>
      </w:r>
      <w:r w:rsidR="005C73A6" w:rsidRPr="00286466">
        <w:rPr>
          <w:b/>
          <w:bCs/>
          <w:sz w:val="32"/>
          <w:szCs w:val="32"/>
        </w:rPr>
        <w:t>, 202</w:t>
      </w:r>
      <w:r w:rsidR="005C73A6">
        <w:rPr>
          <w:b/>
          <w:bCs/>
          <w:sz w:val="32"/>
          <w:szCs w:val="32"/>
        </w:rPr>
        <w:t>1</w:t>
      </w:r>
      <w:bookmarkStart w:id="0" w:name="_DV_M1"/>
      <w:bookmarkStart w:id="1" w:name="_DV_M2"/>
      <w:bookmarkStart w:id="2" w:name="_DV_M93"/>
      <w:bookmarkStart w:id="3" w:name="_DV_M94"/>
      <w:bookmarkStart w:id="4" w:name="_DV_M96"/>
      <w:bookmarkStart w:id="5" w:name="_DV_M99"/>
      <w:bookmarkStart w:id="6" w:name="_DV_M100"/>
      <w:bookmarkStart w:id="7" w:name="_DV_M101"/>
      <w:bookmarkStart w:id="8" w:name="_DV_M102"/>
      <w:bookmarkStart w:id="9" w:name="_DV_M103"/>
      <w:bookmarkStart w:id="10" w:name="_DV_M104"/>
      <w:bookmarkStart w:id="11" w:name="_DV_M105"/>
      <w:bookmarkStart w:id="12" w:name="_DV_M3"/>
      <w:bookmarkStart w:id="13" w:name="_DV_M4"/>
      <w:bookmarkStart w:id="14" w:name="_DV_M5"/>
      <w:bookmarkStart w:id="15" w:name="_DV_M6"/>
      <w:bookmarkStart w:id="16" w:name="S2rom13704_18"/>
      <w:bookmarkStart w:id="17" w:name="c"/>
      <w:bookmarkStart w:id="18" w:name="c3"/>
      <w:bookmarkStart w:id="19" w:name="_DV_M24"/>
      <w:bookmarkStart w:id="20" w:name="_DV_M25"/>
      <w:bookmarkStart w:id="21" w:name="_DV_M26"/>
      <w:bookmarkStart w:id="22" w:name="_DV_M27"/>
      <w:bookmarkStart w:id="23" w:name="_DV_M31"/>
      <w:bookmarkStart w:id="24" w:name="_DV_M45"/>
      <w:bookmarkStart w:id="25" w:name="_DV_M87"/>
      <w:bookmarkStart w:id="26" w:name="_DV_M106"/>
      <w:bookmarkStart w:id="27" w:name="_DV_M107"/>
      <w:bookmarkStart w:id="28" w:name="_DV_M108"/>
      <w:bookmarkStart w:id="29" w:name="_DV_M110"/>
      <w:bookmarkStart w:id="30" w:name="_DV_M111"/>
      <w:bookmarkStart w:id="31" w:name="_DV_M112"/>
      <w:bookmarkStart w:id="32" w:name="_DV_M114"/>
      <w:bookmarkStart w:id="33" w:name="_DV_M115"/>
      <w:bookmarkStart w:id="34" w:name="S2rom13704_1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CE42406" w14:textId="77777777" w:rsidR="005C73A6" w:rsidRPr="00873CEA" w:rsidRDefault="005C73A6" w:rsidP="005C73A6">
      <w:pPr>
        <w:jc w:val="center"/>
        <w:rPr>
          <w:rFonts w:ascii="Arial" w:hAnsi="Arial" w:cs="Arial"/>
          <w:b/>
          <w:bCs/>
          <w:sz w:val="20"/>
          <w:szCs w:val="20"/>
        </w:rPr>
      </w:pPr>
    </w:p>
    <w:p w14:paraId="6746C8ED" w14:textId="77777777" w:rsidR="005C73A6" w:rsidRPr="00D55E86" w:rsidRDefault="005C73A6" w:rsidP="005C73A6">
      <w:pPr>
        <w:jc w:val="both"/>
        <w:rPr>
          <w:rFonts w:eastAsia="Calibri"/>
          <w:b/>
          <w:color w:val="000000"/>
          <w:u w:val="single"/>
        </w:rPr>
      </w:pPr>
      <w:r w:rsidRPr="00D55E86">
        <w:rPr>
          <w:rFonts w:eastAsia="Calibri"/>
          <w:b/>
          <w:color w:val="000000"/>
          <w:u w:val="single"/>
        </w:rPr>
        <w:t>CIBL, Inc.</w:t>
      </w:r>
    </w:p>
    <w:p w14:paraId="219728A1" w14:textId="77777777" w:rsidR="005C73A6" w:rsidRPr="00D55E86" w:rsidRDefault="005C73A6" w:rsidP="005C73A6">
      <w:pPr>
        <w:jc w:val="both"/>
        <w:rPr>
          <w:rFonts w:eastAsia="Calibri"/>
          <w:b/>
          <w:color w:val="000000"/>
          <w:u w:val="single"/>
        </w:rPr>
      </w:pPr>
    </w:p>
    <w:p w14:paraId="3EFE7DFB" w14:textId="77777777" w:rsidR="005C73A6" w:rsidRPr="00D55E86" w:rsidRDefault="005C73A6" w:rsidP="005C73A6">
      <w:pPr>
        <w:autoSpaceDE/>
        <w:adjustRightInd/>
        <w:jc w:val="both"/>
        <w:rPr>
          <w:b/>
          <w:color w:val="000000"/>
          <w:u w:val="single"/>
        </w:rPr>
      </w:pPr>
      <w:r w:rsidRPr="00D55E86">
        <w:rPr>
          <w:b/>
          <w:color w:val="000000"/>
          <w:u w:val="single"/>
        </w:rPr>
        <w:t>Management’s Discussion and Analysis of Financial Condition and Results of Operations</w:t>
      </w:r>
    </w:p>
    <w:p w14:paraId="159834DA" w14:textId="77777777" w:rsidR="00227FC3" w:rsidRDefault="00227FC3" w:rsidP="005C73A6">
      <w:pPr>
        <w:autoSpaceDE/>
        <w:adjustRightInd/>
        <w:jc w:val="both"/>
        <w:rPr>
          <w:color w:val="000000"/>
        </w:rPr>
      </w:pPr>
    </w:p>
    <w:p w14:paraId="1698E72C" w14:textId="77777777" w:rsidR="005C73A6" w:rsidRPr="00D55E86" w:rsidRDefault="005C73A6" w:rsidP="005C73A6">
      <w:pPr>
        <w:autoSpaceDE/>
        <w:adjustRightInd/>
        <w:jc w:val="both"/>
        <w:rPr>
          <w:i/>
          <w:iCs/>
          <w:color w:val="000000"/>
        </w:rPr>
      </w:pPr>
    </w:p>
    <w:p w14:paraId="02E93B7C" w14:textId="77777777" w:rsidR="005C73A6" w:rsidRPr="00D55E86" w:rsidRDefault="005C73A6" w:rsidP="005C73A6">
      <w:pPr>
        <w:autoSpaceDE/>
        <w:adjustRightInd/>
        <w:spacing w:after="240"/>
        <w:jc w:val="both"/>
        <w:rPr>
          <w:b/>
          <w:bCs/>
        </w:rPr>
      </w:pPr>
      <w:r w:rsidRPr="00D55E86">
        <w:rPr>
          <w:b/>
          <w:bCs/>
        </w:rPr>
        <w:t>Forward-Looking Statements and Uncertainty of Financial Projections</w:t>
      </w:r>
    </w:p>
    <w:p w14:paraId="489BB5E0" w14:textId="77777777" w:rsidR="005C73A6" w:rsidRPr="00D55E86" w:rsidRDefault="005C73A6" w:rsidP="005C73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djustRightInd/>
        <w:jc w:val="both"/>
      </w:pPr>
      <w:r w:rsidRPr="00D55E86">
        <w:t>The following discussion contains certain forward-looking statements.</w:t>
      </w:r>
      <w:r>
        <w:t xml:space="preserve"> </w:t>
      </w:r>
      <w:r w:rsidRPr="00D55E86">
        <w:t xml:space="preserve">Forward-looking statements are not based on historical information but relate to future operations, strategies, financial </w:t>
      </w:r>
      <w:proofErr w:type="gramStart"/>
      <w:r w:rsidRPr="00D55E86">
        <w:t>results</w:t>
      </w:r>
      <w:proofErr w:type="gramEnd"/>
      <w:r w:rsidRPr="00D55E86">
        <w:t xml:space="preserve"> or other developments.  Forward-looking statements are necessarily based on estimates and assumptions that are inherently subject to significant business, financial, </w:t>
      </w:r>
      <w:proofErr w:type="gramStart"/>
      <w:r w:rsidRPr="00D55E86">
        <w:t>economic</w:t>
      </w:r>
      <w:proofErr w:type="gramEnd"/>
      <w:r w:rsidRPr="00D55E86">
        <w:t xml:space="preserve"> and competitive uncertainties and contingencies, many of which are beyond our control and all of which, with respect to future business decisions, are subject to change.  These uncertainties and contingencies can affect actual results and could cause actual results to differ materially from those expressed in any forward-looking statements made by, or on behalf of, the Company.</w:t>
      </w:r>
    </w:p>
    <w:p w14:paraId="0DE29797" w14:textId="77777777" w:rsidR="007C50A3" w:rsidRDefault="007C50A3" w:rsidP="009E0EDC">
      <w:pPr>
        <w:autoSpaceDE/>
        <w:adjustRightInd/>
        <w:jc w:val="both"/>
        <w:outlineLvl w:val="0"/>
        <w:rPr>
          <w:b/>
          <w:color w:val="000000"/>
        </w:rPr>
      </w:pPr>
    </w:p>
    <w:p w14:paraId="7BB2C931" w14:textId="59BF562C" w:rsidR="009E0EDC" w:rsidRDefault="009E0EDC" w:rsidP="009E0EDC">
      <w:pPr>
        <w:autoSpaceDE/>
        <w:adjustRightInd/>
        <w:jc w:val="both"/>
        <w:outlineLvl w:val="0"/>
        <w:rPr>
          <w:b/>
          <w:color w:val="000000"/>
        </w:rPr>
      </w:pPr>
      <w:bookmarkStart w:id="35" w:name="_Hlk80100973"/>
      <w:r w:rsidRPr="00D55E86">
        <w:rPr>
          <w:b/>
          <w:color w:val="000000"/>
        </w:rPr>
        <w:t>RESULTS OF OPERATIONS</w:t>
      </w:r>
    </w:p>
    <w:p w14:paraId="1C59C122" w14:textId="3A530573" w:rsidR="00BD0499" w:rsidRDefault="00BD0499" w:rsidP="009E0EDC">
      <w:pPr>
        <w:autoSpaceDE/>
        <w:adjustRightInd/>
        <w:jc w:val="both"/>
        <w:outlineLvl w:val="0"/>
        <w:rPr>
          <w:b/>
          <w:color w:val="000000"/>
        </w:rPr>
      </w:pPr>
    </w:p>
    <w:p w14:paraId="060AA775" w14:textId="57CFC037" w:rsidR="00BD0499" w:rsidRPr="00D55E86" w:rsidRDefault="001B36AC" w:rsidP="00BD0499">
      <w:pPr>
        <w:autoSpaceDE/>
        <w:adjustRightInd/>
        <w:jc w:val="both"/>
        <w:outlineLvl w:val="0"/>
        <w:rPr>
          <w:b/>
          <w:bCs/>
          <w:color w:val="000000"/>
        </w:rPr>
      </w:pPr>
      <w:r>
        <w:rPr>
          <w:b/>
          <w:bCs/>
          <w:color w:val="000000"/>
        </w:rPr>
        <w:t xml:space="preserve">Three </w:t>
      </w:r>
      <w:r w:rsidR="00BD0499">
        <w:rPr>
          <w:b/>
          <w:bCs/>
          <w:color w:val="000000"/>
        </w:rPr>
        <w:t xml:space="preserve">Months Ended </w:t>
      </w:r>
      <w:r w:rsidR="007E1167">
        <w:rPr>
          <w:b/>
          <w:bCs/>
          <w:color w:val="000000"/>
        </w:rPr>
        <w:t>September</w:t>
      </w:r>
      <w:r w:rsidR="00BD0499">
        <w:rPr>
          <w:b/>
          <w:bCs/>
          <w:color w:val="000000"/>
        </w:rPr>
        <w:t xml:space="preserve"> 30, 2021, </w:t>
      </w:r>
      <w:r w:rsidR="00BD0499" w:rsidRPr="00D55E86">
        <w:rPr>
          <w:b/>
          <w:bCs/>
          <w:color w:val="000000"/>
        </w:rPr>
        <w:t>compared to 20</w:t>
      </w:r>
      <w:r w:rsidR="00BD0499">
        <w:rPr>
          <w:b/>
          <w:bCs/>
          <w:color w:val="000000"/>
        </w:rPr>
        <w:t>20.</w:t>
      </w:r>
    </w:p>
    <w:p w14:paraId="1E04ED4A" w14:textId="1188DA4D" w:rsidR="00BD0499" w:rsidRDefault="00BD0499" w:rsidP="009E0EDC">
      <w:pPr>
        <w:autoSpaceDE/>
        <w:adjustRightInd/>
        <w:jc w:val="both"/>
        <w:outlineLvl w:val="0"/>
        <w:rPr>
          <w:b/>
          <w:color w:val="000000"/>
        </w:rPr>
      </w:pPr>
    </w:p>
    <w:p w14:paraId="6562FF07" w14:textId="55E362C9" w:rsidR="00A713C6" w:rsidRDefault="00EF5973" w:rsidP="00A713C6">
      <w:pPr>
        <w:autoSpaceDE/>
        <w:adjustRightInd/>
        <w:jc w:val="both"/>
        <w:rPr>
          <w:bCs/>
          <w:color w:val="000000"/>
        </w:rPr>
      </w:pPr>
      <w:r>
        <w:rPr>
          <w:bCs/>
          <w:color w:val="000000"/>
        </w:rPr>
        <w:t xml:space="preserve">In the </w:t>
      </w:r>
      <w:r w:rsidR="001B36AC">
        <w:rPr>
          <w:bCs/>
          <w:color w:val="000000"/>
        </w:rPr>
        <w:t xml:space="preserve">third </w:t>
      </w:r>
      <w:r>
        <w:rPr>
          <w:bCs/>
          <w:color w:val="000000"/>
        </w:rPr>
        <w:t>quarter of 2021 r</w:t>
      </w:r>
      <w:r w:rsidR="000734F9" w:rsidRPr="000734F9">
        <w:rPr>
          <w:bCs/>
          <w:color w:val="000000"/>
        </w:rPr>
        <w:t>evenues</w:t>
      </w:r>
      <w:r w:rsidR="000734F9">
        <w:rPr>
          <w:bCs/>
          <w:color w:val="000000"/>
        </w:rPr>
        <w:t xml:space="preserve"> </w:t>
      </w:r>
      <w:r>
        <w:rPr>
          <w:bCs/>
          <w:color w:val="000000"/>
        </w:rPr>
        <w:t>increased by $</w:t>
      </w:r>
      <w:r w:rsidR="00670FE3">
        <w:rPr>
          <w:bCs/>
          <w:color w:val="000000"/>
        </w:rPr>
        <w:t>18</w:t>
      </w:r>
      <w:r>
        <w:rPr>
          <w:bCs/>
          <w:color w:val="000000"/>
        </w:rPr>
        <w:t>,000 to $4</w:t>
      </w:r>
      <w:r w:rsidR="00670FE3">
        <w:rPr>
          <w:bCs/>
          <w:color w:val="000000"/>
        </w:rPr>
        <w:t>78</w:t>
      </w:r>
      <w:r>
        <w:rPr>
          <w:bCs/>
          <w:color w:val="000000"/>
        </w:rPr>
        <w:t>,000 from $</w:t>
      </w:r>
      <w:r w:rsidR="00670FE3">
        <w:rPr>
          <w:bCs/>
          <w:color w:val="000000"/>
        </w:rPr>
        <w:t>46</w:t>
      </w:r>
      <w:r w:rsidR="000146BA">
        <w:rPr>
          <w:bCs/>
          <w:color w:val="000000"/>
        </w:rPr>
        <w:t>0</w:t>
      </w:r>
      <w:r>
        <w:rPr>
          <w:bCs/>
          <w:color w:val="000000"/>
        </w:rPr>
        <w:t>,000 due to</w:t>
      </w:r>
      <w:r w:rsidR="009C22F7">
        <w:rPr>
          <w:bCs/>
          <w:color w:val="000000"/>
        </w:rPr>
        <w:t xml:space="preserve"> a</w:t>
      </w:r>
      <w:r>
        <w:rPr>
          <w:bCs/>
          <w:color w:val="000000"/>
        </w:rPr>
        <w:t xml:space="preserve"> </w:t>
      </w:r>
      <w:r w:rsidR="00A713C6" w:rsidRPr="00893749">
        <w:rPr>
          <w:bCs/>
          <w:color w:val="000000"/>
        </w:rPr>
        <w:t xml:space="preserve">non-recurring </w:t>
      </w:r>
      <w:r w:rsidR="00A713C6">
        <w:rPr>
          <w:color w:val="000000"/>
        </w:rPr>
        <w:t>project</w:t>
      </w:r>
      <w:r w:rsidR="004F6AE9">
        <w:rPr>
          <w:color w:val="000000"/>
        </w:rPr>
        <w:t xml:space="preserve"> that </w:t>
      </w:r>
      <w:r w:rsidR="00353EAE">
        <w:rPr>
          <w:color w:val="000000"/>
        </w:rPr>
        <w:t xml:space="preserve">was completed </w:t>
      </w:r>
      <w:r w:rsidR="004F6AE9">
        <w:rPr>
          <w:color w:val="000000"/>
        </w:rPr>
        <w:t>in the third quarter of 2021</w:t>
      </w:r>
      <w:r w:rsidR="00A713C6" w:rsidRPr="00893749">
        <w:rPr>
          <w:bCs/>
          <w:color w:val="000000"/>
        </w:rPr>
        <w:t>.</w:t>
      </w:r>
    </w:p>
    <w:p w14:paraId="5E7B5C94" w14:textId="6A0898FB" w:rsidR="00D850A2" w:rsidRDefault="00D850A2" w:rsidP="00A713C6">
      <w:pPr>
        <w:autoSpaceDE/>
        <w:adjustRightInd/>
        <w:jc w:val="both"/>
        <w:rPr>
          <w:bCs/>
          <w:color w:val="000000"/>
        </w:rPr>
      </w:pPr>
    </w:p>
    <w:p w14:paraId="66E1CB1E" w14:textId="354DA641" w:rsidR="00D850A2" w:rsidRPr="003B0D93" w:rsidRDefault="00D850A2" w:rsidP="00A713C6">
      <w:pPr>
        <w:autoSpaceDE/>
        <w:adjustRightInd/>
        <w:jc w:val="both"/>
        <w:rPr>
          <w:color w:val="000000"/>
        </w:rPr>
      </w:pPr>
      <w:r w:rsidRPr="00D850A2">
        <w:rPr>
          <w:color w:val="000000"/>
        </w:rPr>
        <w:t>EBITDA in the third quarter of 2021 increased by $</w:t>
      </w:r>
      <w:r w:rsidR="00670FE3">
        <w:rPr>
          <w:color w:val="000000"/>
        </w:rPr>
        <w:t>30</w:t>
      </w:r>
      <w:r w:rsidRPr="00D850A2">
        <w:rPr>
          <w:color w:val="000000"/>
        </w:rPr>
        <w:t>,000 to $1</w:t>
      </w:r>
      <w:r w:rsidR="00670FE3">
        <w:rPr>
          <w:color w:val="000000"/>
        </w:rPr>
        <w:t>52</w:t>
      </w:r>
      <w:r w:rsidRPr="00D850A2">
        <w:rPr>
          <w:color w:val="000000"/>
        </w:rPr>
        <w:t>,000 from $</w:t>
      </w:r>
      <w:r w:rsidR="00670FE3">
        <w:rPr>
          <w:color w:val="000000"/>
        </w:rPr>
        <w:t>122</w:t>
      </w:r>
      <w:r w:rsidRPr="00D850A2">
        <w:rPr>
          <w:color w:val="000000"/>
        </w:rPr>
        <w:t>,000 in the previous year</w:t>
      </w:r>
      <w:r w:rsidR="000146BA" w:rsidRPr="00D850A2">
        <w:rPr>
          <w:color w:val="000000"/>
        </w:rPr>
        <w:t xml:space="preserve">. </w:t>
      </w:r>
      <w:r w:rsidRPr="00D850A2">
        <w:rPr>
          <w:color w:val="000000"/>
        </w:rPr>
        <w:t xml:space="preserve">The increase in EBITDA </w:t>
      </w:r>
      <w:r w:rsidR="000146BA" w:rsidRPr="00D850A2">
        <w:rPr>
          <w:color w:val="000000"/>
        </w:rPr>
        <w:t>is</w:t>
      </w:r>
      <w:r w:rsidRPr="00D850A2">
        <w:rPr>
          <w:color w:val="000000"/>
        </w:rPr>
        <w:t xml:space="preserve"> directly related to </w:t>
      </w:r>
      <w:r w:rsidR="000146BA">
        <w:rPr>
          <w:color w:val="000000"/>
        </w:rPr>
        <w:t xml:space="preserve">the </w:t>
      </w:r>
      <w:r w:rsidRPr="00D850A2">
        <w:rPr>
          <w:color w:val="000000"/>
        </w:rPr>
        <w:t xml:space="preserve">revenue increase and a reduction in New Hampshire general and administrative expenses </w:t>
      </w:r>
      <w:r w:rsidR="00AB3AFA" w:rsidRPr="003A1E17">
        <w:rPr>
          <w:color w:val="000000"/>
        </w:rPr>
        <w:t>versus</w:t>
      </w:r>
      <w:r w:rsidRPr="00D850A2">
        <w:rPr>
          <w:color w:val="000000"/>
        </w:rPr>
        <w:t xml:space="preserve"> the </w:t>
      </w:r>
      <w:r w:rsidR="00670FE3">
        <w:rPr>
          <w:color w:val="000000"/>
        </w:rPr>
        <w:t>third q</w:t>
      </w:r>
      <w:r w:rsidRPr="00D850A2">
        <w:rPr>
          <w:color w:val="000000"/>
        </w:rPr>
        <w:t>uarter of 2020.</w:t>
      </w:r>
    </w:p>
    <w:p w14:paraId="2993D525" w14:textId="4D205379" w:rsidR="000734F9" w:rsidRDefault="000734F9" w:rsidP="009E0EDC">
      <w:pPr>
        <w:autoSpaceDE/>
        <w:adjustRightInd/>
        <w:jc w:val="both"/>
        <w:outlineLvl w:val="0"/>
        <w:rPr>
          <w:bCs/>
          <w:color w:val="000000"/>
        </w:rPr>
      </w:pPr>
    </w:p>
    <w:tbl>
      <w:tblPr>
        <w:tblW w:w="8341" w:type="dxa"/>
        <w:tblLook w:val="04A0" w:firstRow="1" w:lastRow="0" w:firstColumn="1" w:lastColumn="0" w:noHBand="0" w:noVBand="1"/>
      </w:tblPr>
      <w:tblGrid>
        <w:gridCol w:w="5130"/>
        <w:gridCol w:w="1541"/>
        <w:gridCol w:w="384"/>
        <w:gridCol w:w="1286"/>
      </w:tblGrid>
      <w:tr w:rsidR="000734F9" w:rsidRPr="004B1A43" w14:paraId="5EC4DB4E" w14:textId="77777777" w:rsidTr="00D850A2">
        <w:trPr>
          <w:trHeight w:val="288"/>
        </w:trPr>
        <w:tc>
          <w:tcPr>
            <w:tcW w:w="5130" w:type="dxa"/>
            <w:tcBorders>
              <w:top w:val="nil"/>
              <w:left w:val="nil"/>
              <w:bottom w:val="nil"/>
              <w:right w:val="nil"/>
            </w:tcBorders>
            <w:shd w:val="clear" w:color="auto" w:fill="auto"/>
            <w:noWrap/>
            <w:vAlign w:val="bottom"/>
            <w:hideMark/>
          </w:tcPr>
          <w:p w14:paraId="057C2E5A" w14:textId="77777777" w:rsidR="000734F9" w:rsidRPr="0070658C" w:rsidRDefault="000734F9" w:rsidP="00D850A2">
            <w:pPr>
              <w:autoSpaceDE/>
              <w:autoSpaceDN/>
              <w:adjustRightInd/>
              <w:jc w:val="both"/>
            </w:pPr>
          </w:p>
        </w:tc>
        <w:tc>
          <w:tcPr>
            <w:tcW w:w="3211" w:type="dxa"/>
            <w:gridSpan w:val="3"/>
            <w:tcBorders>
              <w:top w:val="nil"/>
              <w:left w:val="nil"/>
              <w:right w:val="nil"/>
            </w:tcBorders>
            <w:shd w:val="clear" w:color="auto" w:fill="auto"/>
            <w:noWrap/>
            <w:vAlign w:val="bottom"/>
            <w:hideMark/>
          </w:tcPr>
          <w:p w14:paraId="080AF250" w14:textId="77777777" w:rsidR="000734F9" w:rsidRPr="0070658C" w:rsidRDefault="000734F9" w:rsidP="00A9346F">
            <w:pPr>
              <w:autoSpaceDE/>
              <w:autoSpaceDN/>
              <w:adjustRightInd/>
              <w:jc w:val="center"/>
            </w:pPr>
          </w:p>
          <w:p w14:paraId="26FEA2B5" w14:textId="11E69D79" w:rsidR="000734F9" w:rsidRPr="0070658C" w:rsidRDefault="00670FE3" w:rsidP="00A9346F">
            <w:pPr>
              <w:pBdr>
                <w:bottom w:val="single" w:sz="4" w:space="1" w:color="auto"/>
              </w:pBdr>
              <w:autoSpaceDE/>
              <w:autoSpaceDN/>
              <w:adjustRightInd/>
              <w:jc w:val="center"/>
            </w:pPr>
            <w:r>
              <w:t xml:space="preserve">Three </w:t>
            </w:r>
            <w:r w:rsidR="000734F9" w:rsidRPr="0070658C">
              <w:t>Months Ended</w:t>
            </w:r>
          </w:p>
          <w:p w14:paraId="11B4C3B6" w14:textId="24F13F2C" w:rsidR="000734F9" w:rsidRPr="0070658C" w:rsidRDefault="000734F9" w:rsidP="00A9346F">
            <w:pPr>
              <w:pBdr>
                <w:bottom w:val="single" w:sz="4" w:space="1" w:color="auto"/>
              </w:pBdr>
              <w:autoSpaceDE/>
              <w:autoSpaceDN/>
              <w:adjustRightInd/>
              <w:jc w:val="center"/>
            </w:pPr>
            <w:r w:rsidRPr="0070658C">
              <w:t xml:space="preserve"> </w:t>
            </w:r>
            <w:r w:rsidR="00673F41">
              <w:t xml:space="preserve">September </w:t>
            </w:r>
            <w:r w:rsidRPr="0070658C">
              <w:t>3</w:t>
            </w:r>
            <w:r>
              <w:t>0</w:t>
            </w:r>
            <w:r w:rsidRPr="0070658C">
              <w:t>,</w:t>
            </w:r>
          </w:p>
        </w:tc>
      </w:tr>
      <w:tr w:rsidR="000734F9" w:rsidRPr="004B1A43" w14:paraId="73301157" w14:textId="77777777" w:rsidTr="00D850A2">
        <w:trPr>
          <w:trHeight w:val="288"/>
        </w:trPr>
        <w:tc>
          <w:tcPr>
            <w:tcW w:w="5130" w:type="dxa"/>
            <w:tcBorders>
              <w:top w:val="nil"/>
              <w:left w:val="nil"/>
              <w:bottom w:val="nil"/>
              <w:right w:val="nil"/>
            </w:tcBorders>
            <w:shd w:val="clear" w:color="auto" w:fill="auto"/>
            <w:noWrap/>
            <w:vAlign w:val="bottom"/>
            <w:hideMark/>
          </w:tcPr>
          <w:p w14:paraId="411E3666" w14:textId="77777777" w:rsidR="000734F9" w:rsidRPr="0070658C" w:rsidRDefault="000734F9" w:rsidP="00A9346F">
            <w:pPr>
              <w:autoSpaceDE/>
              <w:autoSpaceDN/>
              <w:adjustRightInd/>
              <w:jc w:val="center"/>
            </w:pPr>
            <w:r w:rsidRPr="00984E5E">
              <w:rPr>
                <w:i/>
                <w:iCs/>
              </w:rPr>
              <w:t>(</w:t>
            </w:r>
            <w:proofErr w:type="gramStart"/>
            <w:r w:rsidRPr="00984E5E">
              <w:rPr>
                <w:i/>
                <w:iCs/>
              </w:rPr>
              <w:t>in</w:t>
            </w:r>
            <w:proofErr w:type="gramEnd"/>
            <w:r w:rsidRPr="00984E5E">
              <w:rPr>
                <w:i/>
                <w:iCs/>
              </w:rPr>
              <w:t xml:space="preserve"> thousands)</w:t>
            </w:r>
          </w:p>
        </w:tc>
        <w:tc>
          <w:tcPr>
            <w:tcW w:w="1541" w:type="dxa"/>
            <w:tcBorders>
              <w:left w:val="nil"/>
              <w:bottom w:val="single" w:sz="4" w:space="0" w:color="auto"/>
              <w:right w:val="nil"/>
            </w:tcBorders>
            <w:shd w:val="clear" w:color="auto" w:fill="auto"/>
            <w:noWrap/>
            <w:vAlign w:val="bottom"/>
            <w:hideMark/>
          </w:tcPr>
          <w:p w14:paraId="3F19B295" w14:textId="77777777" w:rsidR="000734F9" w:rsidRPr="0070658C" w:rsidRDefault="000734F9" w:rsidP="00A9346F">
            <w:pPr>
              <w:autoSpaceDE/>
              <w:autoSpaceDN/>
              <w:adjustRightInd/>
              <w:jc w:val="center"/>
            </w:pPr>
            <w:r w:rsidRPr="0070658C">
              <w:t>202</w:t>
            </w:r>
            <w:r>
              <w:t>1</w:t>
            </w:r>
          </w:p>
        </w:tc>
        <w:tc>
          <w:tcPr>
            <w:tcW w:w="384" w:type="dxa"/>
            <w:tcBorders>
              <w:left w:val="nil"/>
              <w:bottom w:val="nil"/>
              <w:right w:val="nil"/>
            </w:tcBorders>
            <w:shd w:val="clear" w:color="auto" w:fill="auto"/>
            <w:noWrap/>
            <w:vAlign w:val="bottom"/>
            <w:hideMark/>
          </w:tcPr>
          <w:p w14:paraId="57E4DB90" w14:textId="77777777" w:rsidR="000734F9" w:rsidRPr="0070658C" w:rsidRDefault="000734F9" w:rsidP="00A9346F">
            <w:pPr>
              <w:autoSpaceDE/>
              <w:autoSpaceDN/>
              <w:adjustRightInd/>
              <w:jc w:val="center"/>
            </w:pPr>
            <w:r w:rsidRPr="0070658C">
              <w:t> </w:t>
            </w:r>
          </w:p>
        </w:tc>
        <w:tc>
          <w:tcPr>
            <w:tcW w:w="1286" w:type="dxa"/>
            <w:tcBorders>
              <w:left w:val="nil"/>
              <w:bottom w:val="single" w:sz="4" w:space="0" w:color="auto"/>
              <w:right w:val="nil"/>
            </w:tcBorders>
            <w:shd w:val="clear" w:color="auto" w:fill="auto"/>
            <w:noWrap/>
            <w:vAlign w:val="bottom"/>
            <w:hideMark/>
          </w:tcPr>
          <w:p w14:paraId="01C81090" w14:textId="77777777" w:rsidR="000734F9" w:rsidRPr="0070658C" w:rsidRDefault="000734F9" w:rsidP="00A9346F">
            <w:pPr>
              <w:autoSpaceDE/>
              <w:autoSpaceDN/>
              <w:adjustRightInd/>
              <w:jc w:val="center"/>
            </w:pPr>
            <w:r w:rsidRPr="0070658C">
              <w:t>20</w:t>
            </w:r>
            <w:r>
              <w:t>20</w:t>
            </w:r>
          </w:p>
        </w:tc>
      </w:tr>
      <w:tr w:rsidR="000734F9" w:rsidRPr="004B1A43" w14:paraId="6D221740" w14:textId="77777777" w:rsidTr="00D850A2">
        <w:trPr>
          <w:trHeight w:val="261"/>
        </w:trPr>
        <w:tc>
          <w:tcPr>
            <w:tcW w:w="5130" w:type="dxa"/>
            <w:tcBorders>
              <w:top w:val="nil"/>
              <w:left w:val="nil"/>
              <w:bottom w:val="nil"/>
              <w:right w:val="nil"/>
            </w:tcBorders>
            <w:shd w:val="clear" w:color="auto" w:fill="auto"/>
            <w:noWrap/>
            <w:vAlign w:val="bottom"/>
          </w:tcPr>
          <w:p w14:paraId="16163D2F" w14:textId="77777777" w:rsidR="000734F9" w:rsidRPr="0070658C" w:rsidRDefault="000734F9" w:rsidP="00A9346F">
            <w:pPr>
              <w:autoSpaceDE/>
              <w:autoSpaceDN/>
              <w:adjustRightInd/>
              <w:jc w:val="both"/>
            </w:pPr>
            <w:r w:rsidRPr="0070658C">
              <w:rPr>
                <w:b/>
                <w:bCs/>
              </w:rPr>
              <w:t>Reconciliation to net income:</w:t>
            </w:r>
          </w:p>
        </w:tc>
        <w:tc>
          <w:tcPr>
            <w:tcW w:w="1541" w:type="dxa"/>
            <w:tcBorders>
              <w:top w:val="nil"/>
              <w:left w:val="nil"/>
              <w:right w:val="nil"/>
            </w:tcBorders>
            <w:shd w:val="clear" w:color="auto" w:fill="auto"/>
            <w:noWrap/>
            <w:vAlign w:val="bottom"/>
          </w:tcPr>
          <w:p w14:paraId="6E35E0F4" w14:textId="77777777" w:rsidR="000734F9" w:rsidRPr="0070658C" w:rsidRDefault="000734F9" w:rsidP="00A9346F">
            <w:pPr>
              <w:autoSpaceDE/>
              <w:autoSpaceDN/>
              <w:adjustRightInd/>
              <w:jc w:val="right"/>
            </w:pPr>
          </w:p>
        </w:tc>
        <w:tc>
          <w:tcPr>
            <w:tcW w:w="384" w:type="dxa"/>
            <w:tcBorders>
              <w:top w:val="nil"/>
              <w:left w:val="nil"/>
              <w:right w:val="nil"/>
            </w:tcBorders>
            <w:shd w:val="clear" w:color="auto" w:fill="auto"/>
            <w:noWrap/>
            <w:vAlign w:val="bottom"/>
          </w:tcPr>
          <w:p w14:paraId="2403E947" w14:textId="77777777" w:rsidR="000734F9" w:rsidRPr="0070658C" w:rsidRDefault="000734F9" w:rsidP="00A9346F">
            <w:pPr>
              <w:autoSpaceDE/>
              <w:autoSpaceDN/>
              <w:adjustRightInd/>
              <w:jc w:val="right"/>
              <w:rPr>
                <w:u w:val="single"/>
              </w:rPr>
            </w:pPr>
          </w:p>
        </w:tc>
        <w:tc>
          <w:tcPr>
            <w:tcW w:w="1286" w:type="dxa"/>
            <w:tcBorders>
              <w:top w:val="nil"/>
              <w:left w:val="nil"/>
              <w:right w:val="nil"/>
            </w:tcBorders>
            <w:shd w:val="clear" w:color="auto" w:fill="auto"/>
            <w:noWrap/>
            <w:vAlign w:val="bottom"/>
          </w:tcPr>
          <w:p w14:paraId="45190D5A" w14:textId="77777777" w:rsidR="000734F9" w:rsidRPr="0070658C" w:rsidRDefault="000734F9" w:rsidP="00A9346F">
            <w:pPr>
              <w:autoSpaceDE/>
              <w:autoSpaceDN/>
              <w:adjustRightInd/>
              <w:jc w:val="right"/>
            </w:pPr>
          </w:p>
        </w:tc>
      </w:tr>
      <w:tr w:rsidR="000734F9" w14:paraId="65DC2E67" w14:textId="77777777" w:rsidTr="00D850A2">
        <w:trPr>
          <w:trHeight w:val="288"/>
        </w:trPr>
        <w:tc>
          <w:tcPr>
            <w:tcW w:w="5130" w:type="dxa"/>
            <w:tcBorders>
              <w:top w:val="nil"/>
              <w:left w:val="nil"/>
              <w:bottom w:val="nil"/>
              <w:right w:val="nil"/>
            </w:tcBorders>
            <w:shd w:val="clear" w:color="auto" w:fill="auto"/>
            <w:noWrap/>
            <w:vAlign w:val="bottom"/>
          </w:tcPr>
          <w:p w14:paraId="4FE2DF1F" w14:textId="77777777" w:rsidR="000734F9" w:rsidRPr="0070658C" w:rsidRDefault="000734F9" w:rsidP="00A9346F">
            <w:pPr>
              <w:autoSpaceDE/>
              <w:autoSpaceDN/>
              <w:adjustRightInd/>
              <w:jc w:val="both"/>
            </w:pPr>
            <w:r w:rsidRPr="0070658C">
              <w:t xml:space="preserve">EBITDA </w:t>
            </w:r>
          </w:p>
        </w:tc>
        <w:tc>
          <w:tcPr>
            <w:tcW w:w="1541" w:type="dxa"/>
            <w:tcBorders>
              <w:top w:val="nil"/>
              <w:left w:val="nil"/>
              <w:bottom w:val="nil"/>
              <w:right w:val="nil"/>
            </w:tcBorders>
            <w:shd w:val="clear" w:color="auto" w:fill="auto"/>
            <w:noWrap/>
            <w:vAlign w:val="bottom"/>
          </w:tcPr>
          <w:p w14:paraId="4D967F41" w14:textId="407A9790" w:rsidR="000734F9" w:rsidRPr="0070658C" w:rsidRDefault="000734F9" w:rsidP="00A9346F">
            <w:pPr>
              <w:autoSpaceDE/>
              <w:autoSpaceDN/>
              <w:adjustRightInd/>
              <w:jc w:val="right"/>
            </w:pPr>
            <w:r w:rsidRPr="0070658C">
              <w:t>$</w:t>
            </w:r>
            <w:r w:rsidR="00E32DB6">
              <w:t>1</w:t>
            </w:r>
            <w:r w:rsidR="00673F41">
              <w:t>52</w:t>
            </w:r>
          </w:p>
        </w:tc>
        <w:tc>
          <w:tcPr>
            <w:tcW w:w="384" w:type="dxa"/>
            <w:tcBorders>
              <w:top w:val="nil"/>
              <w:left w:val="nil"/>
              <w:bottom w:val="nil"/>
              <w:right w:val="nil"/>
            </w:tcBorders>
            <w:shd w:val="clear" w:color="auto" w:fill="auto"/>
            <w:noWrap/>
            <w:vAlign w:val="bottom"/>
          </w:tcPr>
          <w:p w14:paraId="219CB609" w14:textId="77777777" w:rsidR="000734F9" w:rsidRPr="0070658C" w:rsidRDefault="000734F9" w:rsidP="00A9346F">
            <w:pPr>
              <w:autoSpaceDE/>
              <w:autoSpaceDN/>
              <w:adjustRightInd/>
              <w:jc w:val="right"/>
            </w:pPr>
          </w:p>
        </w:tc>
        <w:tc>
          <w:tcPr>
            <w:tcW w:w="1286" w:type="dxa"/>
            <w:tcBorders>
              <w:top w:val="nil"/>
              <w:left w:val="nil"/>
              <w:bottom w:val="nil"/>
              <w:right w:val="nil"/>
            </w:tcBorders>
            <w:shd w:val="clear" w:color="auto" w:fill="auto"/>
            <w:noWrap/>
            <w:vAlign w:val="bottom"/>
          </w:tcPr>
          <w:p w14:paraId="14002D72" w14:textId="79B612C3" w:rsidR="000734F9" w:rsidRPr="0070658C" w:rsidRDefault="000734F9" w:rsidP="00A9346F">
            <w:pPr>
              <w:autoSpaceDE/>
              <w:autoSpaceDN/>
              <w:adjustRightInd/>
              <w:jc w:val="right"/>
            </w:pPr>
            <w:r w:rsidRPr="0070658C">
              <w:t>$</w:t>
            </w:r>
            <w:r w:rsidR="00673F41">
              <w:t>122</w:t>
            </w:r>
          </w:p>
        </w:tc>
      </w:tr>
      <w:tr w:rsidR="00E32DB6" w14:paraId="10096ADC" w14:textId="77777777" w:rsidTr="00D850A2">
        <w:trPr>
          <w:trHeight w:val="288"/>
        </w:trPr>
        <w:tc>
          <w:tcPr>
            <w:tcW w:w="5130" w:type="dxa"/>
            <w:tcBorders>
              <w:top w:val="nil"/>
              <w:left w:val="nil"/>
              <w:bottom w:val="nil"/>
              <w:right w:val="nil"/>
            </w:tcBorders>
            <w:shd w:val="clear" w:color="auto" w:fill="auto"/>
            <w:noWrap/>
            <w:vAlign w:val="bottom"/>
          </w:tcPr>
          <w:p w14:paraId="126228EF" w14:textId="610ED124" w:rsidR="00E32DB6" w:rsidRPr="0070658C" w:rsidRDefault="00E32DB6" w:rsidP="00A9346F">
            <w:pPr>
              <w:autoSpaceDE/>
              <w:autoSpaceDN/>
              <w:adjustRightInd/>
              <w:jc w:val="both"/>
            </w:pPr>
            <w:r>
              <w:t xml:space="preserve">Corporate office expenses </w:t>
            </w:r>
          </w:p>
        </w:tc>
        <w:tc>
          <w:tcPr>
            <w:tcW w:w="1541" w:type="dxa"/>
            <w:tcBorders>
              <w:top w:val="nil"/>
              <w:left w:val="nil"/>
              <w:bottom w:val="nil"/>
              <w:right w:val="nil"/>
            </w:tcBorders>
            <w:shd w:val="clear" w:color="auto" w:fill="auto"/>
            <w:noWrap/>
            <w:vAlign w:val="bottom"/>
          </w:tcPr>
          <w:p w14:paraId="5AC915D1" w14:textId="79832068" w:rsidR="00E32DB6" w:rsidRDefault="00E32DB6" w:rsidP="00A9346F">
            <w:pPr>
              <w:autoSpaceDE/>
              <w:autoSpaceDN/>
              <w:adjustRightInd/>
              <w:jc w:val="right"/>
            </w:pPr>
            <w:r>
              <w:t>(</w:t>
            </w:r>
            <w:r w:rsidR="00673F41">
              <w:t>166</w:t>
            </w:r>
            <w:r>
              <w:t>)</w:t>
            </w:r>
          </w:p>
        </w:tc>
        <w:tc>
          <w:tcPr>
            <w:tcW w:w="384" w:type="dxa"/>
            <w:tcBorders>
              <w:top w:val="nil"/>
              <w:left w:val="nil"/>
              <w:bottom w:val="nil"/>
              <w:right w:val="nil"/>
            </w:tcBorders>
            <w:shd w:val="clear" w:color="auto" w:fill="auto"/>
            <w:noWrap/>
            <w:vAlign w:val="bottom"/>
          </w:tcPr>
          <w:p w14:paraId="6F56C738" w14:textId="77777777" w:rsidR="00E32DB6" w:rsidRPr="0070658C" w:rsidRDefault="00E32DB6" w:rsidP="00A9346F">
            <w:pPr>
              <w:autoSpaceDE/>
              <w:autoSpaceDN/>
              <w:adjustRightInd/>
              <w:jc w:val="right"/>
            </w:pPr>
          </w:p>
        </w:tc>
        <w:tc>
          <w:tcPr>
            <w:tcW w:w="1286" w:type="dxa"/>
            <w:tcBorders>
              <w:top w:val="nil"/>
              <w:left w:val="nil"/>
              <w:bottom w:val="nil"/>
              <w:right w:val="nil"/>
            </w:tcBorders>
            <w:shd w:val="clear" w:color="auto" w:fill="auto"/>
            <w:noWrap/>
            <w:vAlign w:val="bottom"/>
          </w:tcPr>
          <w:p w14:paraId="6F259671" w14:textId="56682B7A" w:rsidR="00E32DB6" w:rsidRDefault="00E32DB6" w:rsidP="00A9346F">
            <w:pPr>
              <w:autoSpaceDE/>
              <w:autoSpaceDN/>
              <w:adjustRightInd/>
              <w:jc w:val="right"/>
            </w:pPr>
            <w:r>
              <w:t>(1</w:t>
            </w:r>
            <w:r w:rsidR="00673F41">
              <w:t>30</w:t>
            </w:r>
            <w:r>
              <w:t>)</w:t>
            </w:r>
          </w:p>
        </w:tc>
      </w:tr>
      <w:tr w:rsidR="00E32DB6" w14:paraId="0246BB50" w14:textId="77777777" w:rsidTr="00D850A2">
        <w:trPr>
          <w:trHeight w:val="288"/>
        </w:trPr>
        <w:tc>
          <w:tcPr>
            <w:tcW w:w="5130" w:type="dxa"/>
            <w:tcBorders>
              <w:top w:val="nil"/>
              <w:left w:val="nil"/>
              <w:bottom w:val="nil"/>
              <w:right w:val="nil"/>
            </w:tcBorders>
            <w:shd w:val="clear" w:color="auto" w:fill="auto"/>
            <w:noWrap/>
            <w:vAlign w:val="bottom"/>
          </w:tcPr>
          <w:p w14:paraId="30370B08" w14:textId="196DF232" w:rsidR="00E32DB6" w:rsidRPr="0070658C" w:rsidRDefault="00E32DB6" w:rsidP="00A9346F">
            <w:pPr>
              <w:autoSpaceDE/>
              <w:autoSpaceDN/>
              <w:adjustRightInd/>
              <w:jc w:val="both"/>
            </w:pPr>
            <w:r>
              <w:t>Management fee</w:t>
            </w:r>
          </w:p>
        </w:tc>
        <w:tc>
          <w:tcPr>
            <w:tcW w:w="1541" w:type="dxa"/>
            <w:tcBorders>
              <w:top w:val="nil"/>
              <w:left w:val="nil"/>
              <w:bottom w:val="nil"/>
              <w:right w:val="nil"/>
            </w:tcBorders>
            <w:shd w:val="clear" w:color="auto" w:fill="auto"/>
            <w:noWrap/>
            <w:vAlign w:val="bottom"/>
          </w:tcPr>
          <w:p w14:paraId="4AAF108A" w14:textId="4162A22A" w:rsidR="00E32DB6" w:rsidRDefault="00E32DB6" w:rsidP="00A9346F">
            <w:pPr>
              <w:autoSpaceDE/>
              <w:autoSpaceDN/>
              <w:adjustRightInd/>
              <w:jc w:val="right"/>
            </w:pPr>
            <w:r>
              <w:t>(3</w:t>
            </w:r>
            <w:r w:rsidR="00CE18DA">
              <w:t>1</w:t>
            </w:r>
            <w:r>
              <w:t>)</w:t>
            </w:r>
          </w:p>
        </w:tc>
        <w:tc>
          <w:tcPr>
            <w:tcW w:w="384" w:type="dxa"/>
            <w:tcBorders>
              <w:top w:val="nil"/>
              <w:left w:val="nil"/>
              <w:bottom w:val="nil"/>
              <w:right w:val="nil"/>
            </w:tcBorders>
            <w:shd w:val="clear" w:color="auto" w:fill="auto"/>
            <w:noWrap/>
            <w:vAlign w:val="bottom"/>
          </w:tcPr>
          <w:p w14:paraId="391A67C8" w14:textId="77777777" w:rsidR="00E32DB6" w:rsidRPr="0070658C" w:rsidRDefault="00E32DB6" w:rsidP="00A9346F">
            <w:pPr>
              <w:autoSpaceDE/>
              <w:autoSpaceDN/>
              <w:adjustRightInd/>
              <w:jc w:val="right"/>
            </w:pPr>
          </w:p>
        </w:tc>
        <w:tc>
          <w:tcPr>
            <w:tcW w:w="1286" w:type="dxa"/>
            <w:tcBorders>
              <w:top w:val="nil"/>
              <w:left w:val="nil"/>
              <w:bottom w:val="nil"/>
              <w:right w:val="nil"/>
            </w:tcBorders>
            <w:shd w:val="clear" w:color="auto" w:fill="auto"/>
            <w:noWrap/>
            <w:vAlign w:val="bottom"/>
          </w:tcPr>
          <w:p w14:paraId="450C41D7" w14:textId="4BA5B540" w:rsidR="00E32DB6" w:rsidRDefault="00E32DB6" w:rsidP="00A9346F">
            <w:pPr>
              <w:autoSpaceDE/>
              <w:autoSpaceDN/>
              <w:adjustRightInd/>
              <w:jc w:val="right"/>
            </w:pPr>
            <w:r>
              <w:t>(3</w:t>
            </w:r>
            <w:r w:rsidR="00CE18DA">
              <w:t>1</w:t>
            </w:r>
            <w:r>
              <w:t>)</w:t>
            </w:r>
          </w:p>
        </w:tc>
      </w:tr>
      <w:tr w:rsidR="000734F9" w14:paraId="7AB88175" w14:textId="77777777" w:rsidTr="00D850A2">
        <w:trPr>
          <w:trHeight w:val="288"/>
        </w:trPr>
        <w:tc>
          <w:tcPr>
            <w:tcW w:w="5130" w:type="dxa"/>
            <w:tcBorders>
              <w:top w:val="nil"/>
              <w:left w:val="nil"/>
              <w:bottom w:val="nil"/>
              <w:right w:val="nil"/>
            </w:tcBorders>
            <w:shd w:val="clear" w:color="auto" w:fill="auto"/>
            <w:noWrap/>
            <w:vAlign w:val="bottom"/>
          </w:tcPr>
          <w:p w14:paraId="4AED03E7" w14:textId="3223CAB6" w:rsidR="000734F9" w:rsidRPr="0070658C" w:rsidRDefault="00A3479F" w:rsidP="00A9346F">
            <w:pPr>
              <w:autoSpaceDE/>
              <w:autoSpaceDN/>
              <w:adjustRightInd/>
              <w:jc w:val="both"/>
            </w:pPr>
            <w:r w:rsidRPr="00E37DA8">
              <w:t xml:space="preserve">Interest Income </w:t>
            </w:r>
          </w:p>
        </w:tc>
        <w:tc>
          <w:tcPr>
            <w:tcW w:w="1541" w:type="dxa"/>
            <w:tcBorders>
              <w:top w:val="nil"/>
              <w:left w:val="nil"/>
              <w:bottom w:val="nil"/>
              <w:right w:val="nil"/>
            </w:tcBorders>
            <w:shd w:val="clear" w:color="auto" w:fill="auto"/>
            <w:noWrap/>
            <w:vAlign w:val="bottom"/>
          </w:tcPr>
          <w:p w14:paraId="01BB90A2" w14:textId="0CA57A72" w:rsidR="000734F9" w:rsidRPr="0070658C" w:rsidRDefault="00CE18DA" w:rsidP="00A9346F">
            <w:pPr>
              <w:autoSpaceDE/>
              <w:autoSpaceDN/>
              <w:adjustRightInd/>
              <w:jc w:val="right"/>
            </w:pPr>
            <w:r>
              <w:t>2</w:t>
            </w:r>
          </w:p>
        </w:tc>
        <w:tc>
          <w:tcPr>
            <w:tcW w:w="384" w:type="dxa"/>
            <w:tcBorders>
              <w:top w:val="nil"/>
              <w:left w:val="nil"/>
              <w:bottom w:val="nil"/>
              <w:right w:val="nil"/>
            </w:tcBorders>
            <w:shd w:val="clear" w:color="auto" w:fill="auto"/>
            <w:noWrap/>
            <w:vAlign w:val="bottom"/>
          </w:tcPr>
          <w:p w14:paraId="13A856EB" w14:textId="77777777" w:rsidR="000734F9" w:rsidRPr="0070658C" w:rsidRDefault="000734F9" w:rsidP="00A9346F">
            <w:pPr>
              <w:autoSpaceDE/>
              <w:autoSpaceDN/>
              <w:adjustRightInd/>
              <w:jc w:val="right"/>
            </w:pPr>
          </w:p>
        </w:tc>
        <w:tc>
          <w:tcPr>
            <w:tcW w:w="1286" w:type="dxa"/>
            <w:tcBorders>
              <w:top w:val="nil"/>
              <w:left w:val="nil"/>
              <w:bottom w:val="nil"/>
              <w:right w:val="nil"/>
            </w:tcBorders>
            <w:shd w:val="clear" w:color="auto" w:fill="auto"/>
            <w:noWrap/>
            <w:vAlign w:val="bottom"/>
          </w:tcPr>
          <w:p w14:paraId="3C1B3477" w14:textId="5E8AB10D" w:rsidR="000734F9" w:rsidRPr="0070658C" w:rsidRDefault="00CE18DA" w:rsidP="00A9346F">
            <w:pPr>
              <w:autoSpaceDE/>
              <w:autoSpaceDN/>
              <w:adjustRightInd/>
              <w:jc w:val="right"/>
            </w:pPr>
            <w:r>
              <w:t>5</w:t>
            </w:r>
          </w:p>
        </w:tc>
      </w:tr>
      <w:tr w:rsidR="000734F9" w14:paraId="1BE639EF" w14:textId="77777777" w:rsidTr="00D850A2">
        <w:trPr>
          <w:trHeight w:val="288"/>
        </w:trPr>
        <w:tc>
          <w:tcPr>
            <w:tcW w:w="5130" w:type="dxa"/>
            <w:tcBorders>
              <w:top w:val="nil"/>
              <w:left w:val="nil"/>
              <w:bottom w:val="nil"/>
              <w:right w:val="nil"/>
            </w:tcBorders>
            <w:shd w:val="clear" w:color="auto" w:fill="auto"/>
            <w:noWrap/>
            <w:vAlign w:val="bottom"/>
          </w:tcPr>
          <w:p w14:paraId="134B699B" w14:textId="44085372" w:rsidR="000734F9" w:rsidRPr="00A3479F" w:rsidRDefault="00E37DA8" w:rsidP="00A9346F">
            <w:pPr>
              <w:autoSpaceDE/>
              <w:autoSpaceDN/>
              <w:adjustRightInd/>
              <w:jc w:val="both"/>
              <w:rPr>
                <w:highlight w:val="cyan"/>
              </w:rPr>
            </w:pPr>
            <w:r w:rsidRPr="00E37DA8">
              <w:t>Investment Income</w:t>
            </w:r>
          </w:p>
        </w:tc>
        <w:tc>
          <w:tcPr>
            <w:tcW w:w="1541" w:type="dxa"/>
            <w:tcBorders>
              <w:top w:val="nil"/>
              <w:left w:val="nil"/>
              <w:bottom w:val="nil"/>
              <w:right w:val="nil"/>
            </w:tcBorders>
            <w:shd w:val="clear" w:color="auto" w:fill="auto"/>
            <w:noWrap/>
            <w:vAlign w:val="bottom"/>
          </w:tcPr>
          <w:p w14:paraId="4F1F1BC6" w14:textId="2032C992" w:rsidR="000734F9" w:rsidRPr="0070658C" w:rsidRDefault="00CE18DA" w:rsidP="00A9346F">
            <w:pPr>
              <w:autoSpaceDE/>
              <w:autoSpaceDN/>
              <w:adjustRightInd/>
              <w:jc w:val="right"/>
            </w:pPr>
            <w:r>
              <w:t>30</w:t>
            </w:r>
          </w:p>
        </w:tc>
        <w:tc>
          <w:tcPr>
            <w:tcW w:w="384" w:type="dxa"/>
            <w:tcBorders>
              <w:top w:val="nil"/>
              <w:left w:val="nil"/>
              <w:bottom w:val="nil"/>
              <w:right w:val="nil"/>
            </w:tcBorders>
            <w:shd w:val="clear" w:color="auto" w:fill="auto"/>
            <w:noWrap/>
            <w:vAlign w:val="bottom"/>
          </w:tcPr>
          <w:p w14:paraId="77796B2B" w14:textId="77777777" w:rsidR="000734F9" w:rsidRPr="0070658C" w:rsidRDefault="000734F9" w:rsidP="00A9346F">
            <w:pPr>
              <w:autoSpaceDE/>
              <w:autoSpaceDN/>
              <w:adjustRightInd/>
              <w:jc w:val="right"/>
            </w:pPr>
          </w:p>
        </w:tc>
        <w:tc>
          <w:tcPr>
            <w:tcW w:w="1286" w:type="dxa"/>
            <w:tcBorders>
              <w:top w:val="nil"/>
              <w:left w:val="nil"/>
              <w:bottom w:val="nil"/>
              <w:right w:val="nil"/>
            </w:tcBorders>
            <w:shd w:val="clear" w:color="auto" w:fill="auto"/>
            <w:noWrap/>
            <w:vAlign w:val="bottom"/>
          </w:tcPr>
          <w:p w14:paraId="08115493" w14:textId="418E20EE" w:rsidR="000734F9" w:rsidRPr="0070658C" w:rsidRDefault="00CE18DA" w:rsidP="00A9346F">
            <w:pPr>
              <w:autoSpaceDE/>
              <w:autoSpaceDN/>
              <w:adjustRightInd/>
              <w:jc w:val="right"/>
            </w:pPr>
            <w:r>
              <w:t>51</w:t>
            </w:r>
          </w:p>
        </w:tc>
      </w:tr>
      <w:tr w:rsidR="000734F9" w:rsidRPr="004B1A43" w14:paraId="7B42277A" w14:textId="77777777" w:rsidTr="00D850A2">
        <w:trPr>
          <w:trHeight w:val="288"/>
        </w:trPr>
        <w:tc>
          <w:tcPr>
            <w:tcW w:w="5130" w:type="dxa"/>
            <w:tcBorders>
              <w:top w:val="nil"/>
              <w:left w:val="nil"/>
              <w:bottom w:val="nil"/>
              <w:right w:val="nil"/>
            </w:tcBorders>
            <w:shd w:val="clear" w:color="auto" w:fill="auto"/>
            <w:noWrap/>
            <w:vAlign w:val="bottom"/>
            <w:hideMark/>
          </w:tcPr>
          <w:p w14:paraId="6A4957F2" w14:textId="77777777" w:rsidR="000734F9" w:rsidRPr="0070658C" w:rsidRDefault="000734F9" w:rsidP="00A9346F">
            <w:pPr>
              <w:autoSpaceDE/>
              <w:autoSpaceDN/>
              <w:adjustRightInd/>
              <w:jc w:val="both"/>
            </w:pPr>
            <w:r w:rsidRPr="0070658C">
              <w:t>Other income (expense)</w:t>
            </w:r>
          </w:p>
        </w:tc>
        <w:tc>
          <w:tcPr>
            <w:tcW w:w="1541" w:type="dxa"/>
            <w:tcBorders>
              <w:top w:val="nil"/>
              <w:left w:val="nil"/>
              <w:bottom w:val="nil"/>
              <w:right w:val="nil"/>
            </w:tcBorders>
            <w:shd w:val="clear" w:color="auto" w:fill="auto"/>
            <w:noWrap/>
            <w:vAlign w:val="bottom"/>
          </w:tcPr>
          <w:p w14:paraId="1ABFBBC1" w14:textId="49F95AD7" w:rsidR="000734F9" w:rsidRPr="0070658C" w:rsidRDefault="00CE18DA" w:rsidP="00A9346F">
            <w:pPr>
              <w:autoSpaceDE/>
              <w:autoSpaceDN/>
              <w:adjustRightInd/>
              <w:jc w:val="right"/>
            </w:pPr>
            <w:r>
              <w:t>--</w:t>
            </w:r>
          </w:p>
        </w:tc>
        <w:tc>
          <w:tcPr>
            <w:tcW w:w="384" w:type="dxa"/>
            <w:tcBorders>
              <w:top w:val="nil"/>
              <w:left w:val="nil"/>
              <w:bottom w:val="nil"/>
              <w:right w:val="nil"/>
            </w:tcBorders>
            <w:shd w:val="clear" w:color="auto" w:fill="auto"/>
            <w:noWrap/>
            <w:vAlign w:val="bottom"/>
            <w:hideMark/>
          </w:tcPr>
          <w:p w14:paraId="4892909D" w14:textId="77777777" w:rsidR="000734F9" w:rsidRPr="0070658C" w:rsidRDefault="000734F9" w:rsidP="00A9346F">
            <w:pPr>
              <w:autoSpaceDE/>
              <w:autoSpaceDN/>
              <w:adjustRightInd/>
              <w:jc w:val="right"/>
            </w:pPr>
          </w:p>
        </w:tc>
        <w:tc>
          <w:tcPr>
            <w:tcW w:w="1286" w:type="dxa"/>
            <w:tcBorders>
              <w:top w:val="nil"/>
              <w:left w:val="nil"/>
              <w:bottom w:val="nil"/>
              <w:right w:val="nil"/>
            </w:tcBorders>
            <w:shd w:val="clear" w:color="auto" w:fill="auto"/>
            <w:noWrap/>
            <w:vAlign w:val="bottom"/>
          </w:tcPr>
          <w:p w14:paraId="39C2A509" w14:textId="7BC91526" w:rsidR="000734F9" w:rsidRPr="0070658C" w:rsidRDefault="00CE18DA" w:rsidP="00A9346F">
            <w:pPr>
              <w:autoSpaceDE/>
              <w:autoSpaceDN/>
              <w:adjustRightInd/>
              <w:jc w:val="right"/>
            </w:pPr>
            <w:r>
              <w:t>(</w:t>
            </w:r>
            <w:r w:rsidR="000734F9">
              <w:t>1</w:t>
            </w:r>
            <w:r>
              <w:t>)</w:t>
            </w:r>
          </w:p>
        </w:tc>
      </w:tr>
      <w:tr w:rsidR="000734F9" w:rsidRPr="004B1A43" w14:paraId="706A05EB" w14:textId="77777777" w:rsidTr="00D850A2">
        <w:trPr>
          <w:trHeight w:val="288"/>
        </w:trPr>
        <w:tc>
          <w:tcPr>
            <w:tcW w:w="5130" w:type="dxa"/>
            <w:tcBorders>
              <w:top w:val="nil"/>
              <w:left w:val="nil"/>
              <w:bottom w:val="nil"/>
              <w:right w:val="nil"/>
            </w:tcBorders>
            <w:shd w:val="clear" w:color="auto" w:fill="auto"/>
            <w:noWrap/>
            <w:vAlign w:val="bottom"/>
            <w:hideMark/>
          </w:tcPr>
          <w:p w14:paraId="33F17206" w14:textId="77777777" w:rsidR="000734F9" w:rsidRPr="0070658C" w:rsidRDefault="000734F9" w:rsidP="00A9346F">
            <w:pPr>
              <w:autoSpaceDE/>
              <w:autoSpaceDN/>
              <w:adjustRightInd/>
              <w:jc w:val="both"/>
            </w:pPr>
            <w:r w:rsidRPr="0070658C">
              <w:t>Depreciation and amortization</w:t>
            </w:r>
          </w:p>
        </w:tc>
        <w:tc>
          <w:tcPr>
            <w:tcW w:w="1541" w:type="dxa"/>
            <w:tcBorders>
              <w:top w:val="nil"/>
              <w:left w:val="nil"/>
              <w:bottom w:val="nil"/>
              <w:right w:val="nil"/>
            </w:tcBorders>
            <w:shd w:val="clear" w:color="auto" w:fill="auto"/>
            <w:noWrap/>
            <w:vAlign w:val="bottom"/>
          </w:tcPr>
          <w:p w14:paraId="50B03003" w14:textId="07B4A4C1" w:rsidR="000734F9" w:rsidRPr="0070658C" w:rsidRDefault="000734F9" w:rsidP="00A9346F">
            <w:pPr>
              <w:autoSpaceDE/>
              <w:autoSpaceDN/>
              <w:adjustRightInd/>
              <w:jc w:val="right"/>
            </w:pPr>
            <w:r w:rsidRPr="0070658C">
              <w:t>(6</w:t>
            </w:r>
            <w:r w:rsidR="00CE18DA">
              <w:t>4</w:t>
            </w:r>
            <w:r w:rsidRPr="0070658C">
              <w:t>)</w:t>
            </w:r>
          </w:p>
        </w:tc>
        <w:tc>
          <w:tcPr>
            <w:tcW w:w="384" w:type="dxa"/>
            <w:tcBorders>
              <w:top w:val="nil"/>
              <w:left w:val="nil"/>
              <w:bottom w:val="nil"/>
              <w:right w:val="nil"/>
            </w:tcBorders>
            <w:shd w:val="clear" w:color="auto" w:fill="auto"/>
            <w:noWrap/>
            <w:vAlign w:val="bottom"/>
            <w:hideMark/>
          </w:tcPr>
          <w:p w14:paraId="122EC925" w14:textId="77777777" w:rsidR="000734F9" w:rsidRPr="0070658C" w:rsidRDefault="000734F9" w:rsidP="00A9346F">
            <w:pPr>
              <w:autoSpaceDE/>
              <w:autoSpaceDN/>
              <w:adjustRightInd/>
              <w:jc w:val="right"/>
            </w:pPr>
          </w:p>
        </w:tc>
        <w:tc>
          <w:tcPr>
            <w:tcW w:w="1286" w:type="dxa"/>
            <w:tcBorders>
              <w:top w:val="nil"/>
              <w:left w:val="nil"/>
              <w:bottom w:val="nil"/>
              <w:right w:val="nil"/>
            </w:tcBorders>
            <w:shd w:val="clear" w:color="auto" w:fill="auto"/>
            <w:noWrap/>
            <w:vAlign w:val="bottom"/>
          </w:tcPr>
          <w:p w14:paraId="27E7530E" w14:textId="29750AE7" w:rsidR="000734F9" w:rsidRPr="0070658C" w:rsidRDefault="000734F9" w:rsidP="00A9346F">
            <w:pPr>
              <w:autoSpaceDE/>
              <w:autoSpaceDN/>
              <w:adjustRightInd/>
              <w:jc w:val="right"/>
            </w:pPr>
            <w:r>
              <w:t>(63)</w:t>
            </w:r>
          </w:p>
        </w:tc>
      </w:tr>
      <w:tr w:rsidR="000734F9" w14:paraId="275A89AD" w14:textId="77777777" w:rsidTr="00D850A2">
        <w:trPr>
          <w:trHeight w:val="288"/>
        </w:trPr>
        <w:tc>
          <w:tcPr>
            <w:tcW w:w="5130" w:type="dxa"/>
            <w:tcBorders>
              <w:top w:val="nil"/>
              <w:left w:val="nil"/>
              <w:bottom w:val="nil"/>
              <w:right w:val="nil"/>
            </w:tcBorders>
            <w:shd w:val="clear" w:color="auto" w:fill="auto"/>
            <w:noWrap/>
            <w:vAlign w:val="bottom"/>
          </w:tcPr>
          <w:p w14:paraId="2E71ED4D" w14:textId="77777777" w:rsidR="000734F9" w:rsidRPr="0070658C" w:rsidRDefault="000734F9" w:rsidP="00A9346F">
            <w:pPr>
              <w:autoSpaceDE/>
              <w:autoSpaceDN/>
              <w:adjustRightInd/>
              <w:jc w:val="both"/>
            </w:pPr>
            <w:r w:rsidRPr="0070658C">
              <w:t>Income tax benefit</w:t>
            </w:r>
          </w:p>
        </w:tc>
        <w:tc>
          <w:tcPr>
            <w:tcW w:w="1541" w:type="dxa"/>
            <w:tcBorders>
              <w:top w:val="nil"/>
              <w:left w:val="nil"/>
              <w:bottom w:val="single" w:sz="4" w:space="0" w:color="auto"/>
              <w:right w:val="nil"/>
            </w:tcBorders>
            <w:shd w:val="clear" w:color="auto" w:fill="auto"/>
            <w:noWrap/>
            <w:vAlign w:val="bottom"/>
          </w:tcPr>
          <w:p w14:paraId="63A97039" w14:textId="75BEE4AA" w:rsidR="000734F9" w:rsidRPr="0070658C" w:rsidRDefault="00CE18DA" w:rsidP="00A9346F">
            <w:pPr>
              <w:autoSpaceDE/>
              <w:autoSpaceDN/>
              <w:adjustRightInd/>
              <w:jc w:val="right"/>
            </w:pPr>
            <w:r>
              <w:t>18</w:t>
            </w:r>
          </w:p>
        </w:tc>
        <w:tc>
          <w:tcPr>
            <w:tcW w:w="384" w:type="dxa"/>
            <w:tcBorders>
              <w:top w:val="nil"/>
              <w:left w:val="nil"/>
              <w:bottom w:val="nil"/>
              <w:right w:val="nil"/>
            </w:tcBorders>
            <w:shd w:val="clear" w:color="auto" w:fill="auto"/>
            <w:noWrap/>
            <w:vAlign w:val="bottom"/>
          </w:tcPr>
          <w:p w14:paraId="76431EF5" w14:textId="77777777" w:rsidR="000734F9" w:rsidRPr="0070658C" w:rsidRDefault="000734F9" w:rsidP="00A9346F">
            <w:pPr>
              <w:autoSpaceDE/>
              <w:autoSpaceDN/>
              <w:adjustRightInd/>
              <w:jc w:val="right"/>
            </w:pPr>
          </w:p>
        </w:tc>
        <w:tc>
          <w:tcPr>
            <w:tcW w:w="1286" w:type="dxa"/>
            <w:tcBorders>
              <w:top w:val="nil"/>
              <w:left w:val="nil"/>
              <w:bottom w:val="single" w:sz="4" w:space="0" w:color="auto"/>
              <w:right w:val="nil"/>
            </w:tcBorders>
            <w:shd w:val="clear" w:color="auto" w:fill="auto"/>
            <w:noWrap/>
            <w:vAlign w:val="bottom"/>
          </w:tcPr>
          <w:p w14:paraId="08079E8F" w14:textId="2890A7FC" w:rsidR="000734F9" w:rsidRPr="0070658C" w:rsidRDefault="000734F9" w:rsidP="00A9346F">
            <w:pPr>
              <w:autoSpaceDE/>
              <w:autoSpaceDN/>
              <w:adjustRightInd/>
              <w:jc w:val="right"/>
            </w:pPr>
            <w:r>
              <w:t>1</w:t>
            </w:r>
            <w:r w:rsidR="00CE18DA">
              <w:t>1</w:t>
            </w:r>
          </w:p>
        </w:tc>
      </w:tr>
      <w:tr w:rsidR="000734F9" w:rsidRPr="004B1A43" w14:paraId="7CB1382E" w14:textId="77777777" w:rsidTr="00D850A2">
        <w:trPr>
          <w:trHeight w:val="312"/>
        </w:trPr>
        <w:tc>
          <w:tcPr>
            <w:tcW w:w="5130" w:type="dxa"/>
            <w:tcBorders>
              <w:top w:val="nil"/>
              <w:left w:val="nil"/>
              <w:bottom w:val="nil"/>
              <w:right w:val="nil"/>
            </w:tcBorders>
            <w:shd w:val="clear" w:color="auto" w:fill="auto"/>
            <w:noWrap/>
            <w:vAlign w:val="bottom"/>
            <w:hideMark/>
          </w:tcPr>
          <w:p w14:paraId="57606E63" w14:textId="77777777" w:rsidR="000734F9" w:rsidRPr="0070658C" w:rsidRDefault="000734F9" w:rsidP="00A9346F">
            <w:pPr>
              <w:autoSpaceDE/>
              <w:autoSpaceDN/>
              <w:adjustRightInd/>
              <w:ind w:left="144"/>
              <w:jc w:val="both"/>
            </w:pPr>
            <w:r w:rsidRPr="0070658C">
              <w:t xml:space="preserve">Net Income </w:t>
            </w:r>
            <w:r>
              <w:t>(loss)</w:t>
            </w:r>
          </w:p>
        </w:tc>
        <w:tc>
          <w:tcPr>
            <w:tcW w:w="1541" w:type="dxa"/>
            <w:tcBorders>
              <w:top w:val="single" w:sz="4" w:space="0" w:color="auto"/>
              <w:left w:val="nil"/>
              <w:bottom w:val="double" w:sz="4" w:space="0" w:color="auto"/>
              <w:right w:val="nil"/>
            </w:tcBorders>
            <w:shd w:val="clear" w:color="auto" w:fill="auto"/>
            <w:noWrap/>
            <w:vAlign w:val="bottom"/>
          </w:tcPr>
          <w:p w14:paraId="2977C32D" w14:textId="4A7A1F1E" w:rsidR="000734F9" w:rsidRPr="0070658C" w:rsidRDefault="000734F9" w:rsidP="00A9346F">
            <w:pPr>
              <w:autoSpaceDE/>
              <w:autoSpaceDN/>
              <w:adjustRightInd/>
              <w:jc w:val="right"/>
            </w:pPr>
            <w:r w:rsidRPr="0070658C">
              <w:t>$</w:t>
            </w:r>
            <w:r>
              <w:t>(</w:t>
            </w:r>
            <w:r w:rsidR="00CE18DA">
              <w:t>59</w:t>
            </w:r>
            <w:r>
              <w:t>)</w:t>
            </w:r>
          </w:p>
        </w:tc>
        <w:tc>
          <w:tcPr>
            <w:tcW w:w="384" w:type="dxa"/>
            <w:tcBorders>
              <w:top w:val="nil"/>
              <w:left w:val="nil"/>
              <w:bottom w:val="nil"/>
              <w:right w:val="nil"/>
            </w:tcBorders>
            <w:shd w:val="clear" w:color="auto" w:fill="auto"/>
            <w:noWrap/>
            <w:vAlign w:val="bottom"/>
            <w:hideMark/>
          </w:tcPr>
          <w:p w14:paraId="72876ECF" w14:textId="77777777" w:rsidR="000734F9" w:rsidRPr="0070658C" w:rsidRDefault="000734F9" w:rsidP="00A9346F">
            <w:pPr>
              <w:autoSpaceDE/>
              <w:autoSpaceDN/>
              <w:adjustRightInd/>
              <w:jc w:val="right"/>
            </w:pPr>
          </w:p>
        </w:tc>
        <w:tc>
          <w:tcPr>
            <w:tcW w:w="1286" w:type="dxa"/>
            <w:tcBorders>
              <w:top w:val="single" w:sz="4" w:space="0" w:color="auto"/>
              <w:left w:val="nil"/>
              <w:bottom w:val="double" w:sz="4" w:space="0" w:color="auto"/>
              <w:right w:val="nil"/>
            </w:tcBorders>
            <w:shd w:val="clear" w:color="auto" w:fill="auto"/>
            <w:noWrap/>
            <w:vAlign w:val="bottom"/>
          </w:tcPr>
          <w:p w14:paraId="50B2F6C1" w14:textId="489EA412" w:rsidR="000734F9" w:rsidRPr="0070658C" w:rsidRDefault="000734F9" w:rsidP="00A9346F">
            <w:pPr>
              <w:autoSpaceDE/>
              <w:autoSpaceDN/>
              <w:adjustRightInd/>
              <w:jc w:val="right"/>
            </w:pPr>
            <w:r w:rsidRPr="0070658C">
              <w:t>$</w:t>
            </w:r>
            <w:r>
              <w:t>(</w:t>
            </w:r>
            <w:r w:rsidR="00B30749">
              <w:t>3</w:t>
            </w:r>
            <w:r w:rsidR="00CE18DA">
              <w:t>6</w:t>
            </w:r>
            <w:r>
              <w:t>)</w:t>
            </w:r>
          </w:p>
        </w:tc>
      </w:tr>
    </w:tbl>
    <w:bookmarkEnd w:id="35"/>
    <w:p w14:paraId="5256168F" w14:textId="514E041A" w:rsidR="00F70C0F" w:rsidRDefault="00087075" w:rsidP="00F70C0F">
      <w:pPr>
        <w:autoSpaceDE/>
        <w:adjustRightInd/>
        <w:jc w:val="both"/>
        <w:rPr>
          <w:color w:val="000000"/>
        </w:rPr>
      </w:pPr>
      <w:r w:rsidRPr="00A406C5">
        <w:rPr>
          <w:color w:val="000000"/>
        </w:rPr>
        <w:lastRenderedPageBreak/>
        <w:t xml:space="preserve">Corporate expenses for the quarter ended </w:t>
      </w:r>
      <w:r w:rsidR="007E1167" w:rsidRPr="00A406C5">
        <w:rPr>
          <w:color w:val="000000"/>
        </w:rPr>
        <w:t>September</w:t>
      </w:r>
      <w:r w:rsidRPr="00A406C5">
        <w:rPr>
          <w:color w:val="000000"/>
        </w:rPr>
        <w:t xml:space="preserve"> 3</w:t>
      </w:r>
      <w:r w:rsidR="00F5711C" w:rsidRPr="00A406C5">
        <w:rPr>
          <w:color w:val="000000"/>
        </w:rPr>
        <w:t>0</w:t>
      </w:r>
      <w:r w:rsidRPr="00A406C5">
        <w:rPr>
          <w:color w:val="000000"/>
        </w:rPr>
        <w:t xml:space="preserve">, </w:t>
      </w:r>
      <w:proofErr w:type="gramStart"/>
      <w:r w:rsidRPr="00A406C5">
        <w:rPr>
          <w:color w:val="000000"/>
        </w:rPr>
        <w:t>2021</w:t>
      </w:r>
      <w:proofErr w:type="gramEnd"/>
      <w:r w:rsidRPr="00A406C5">
        <w:rPr>
          <w:color w:val="000000"/>
        </w:rPr>
        <w:t xml:space="preserve"> </w:t>
      </w:r>
      <w:r w:rsidR="00AD1A1B" w:rsidRPr="00A406C5">
        <w:rPr>
          <w:color w:val="000000"/>
        </w:rPr>
        <w:t>increased $</w:t>
      </w:r>
      <w:r w:rsidR="00A406C5" w:rsidRPr="00A406C5">
        <w:rPr>
          <w:color w:val="000000"/>
        </w:rPr>
        <w:t>36</w:t>
      </w:r>
      <w:r w:rsidR="00AD1A1B" w:rsidRPr="00A406C5">
        <w:rPr>
          <w:color w:val="000000"/>
        </w:rPr>
        <w:t xml:space="preserve">,000 to </w:t>
      </w:r>
      <w:r w:rsidRPr="00A406C5">
        <w:rPr>
          <w:color w:val="000000"/>
        </w:rPr>
        <w:t>$</w:t>
      </w:r>
      <w:r w:rsidR="00A406C5" w:rsidRPr="00A406C5">
        <w:rPr>
          <w:color w:val="000000"/>
        </w:rPr>
        <w:t>166</w:t>
      </w:r>
      <w:r w:rsidR="000E25AC" w:rsidRPr="00A406C5">
        <w:rPr>
          <w:color w:val="000000"/>
        </w:rPr>
        <w:t>,</w:t>
      </w:r>
      <w:r w:rsidRPr="00A406C5">
        <w:rPr>
          <w:color w:val="000000"/>
        </w:rPr>
        <w:t>000</w:t>
      </w:r>
      <w:r w:rsidR="00AD1A1B" w:rsidRPr="00A406C5">
        <w:rPr>
          <w:color w:val="000000"/>
        </w:rPr>
        <w:t xml:space="preserve"> </w:t>
      </w:r>
      <w:r w:rsidRPr="00A406C5">
        <w:rPr>
          <w:color w:val="000000"/>
        </w:rPr>
        <w:t>f</w:t>
      </w:r>
      <w:r w:rsidR="00AD1A1B" w:rsidRPr="00A406C5">
        <w:rPr>
          <w:color w:val="000000"/>
        </w:rPr>
        <w:t>rom</w:t>
      </w:r>
      <w:r w:rsidRPr="00A406C5">
        <w:rPr>
          <w:color w:val="000000"/>
        </w:rPr>
        <w:t xml:space="preserve"> $1</w:t>
      </w:r>
      <w:r w:rsidR="00A406C5" w:rsidRPr="00A406C5">
        <w:rPr>
          <w:color w:val="000000"/>
        </w:rPr>
        <w:t>30</w:t>
      </w:r>
      <w:r w:rsidRPr="00A406C5">
        <w:rPr>
          <w:color w:val="000000"/>
        </w:rPr>
        <w:t>,000 as compared to 2020</w:t>
      </w:r>
      <w:r w:rsidR="00F70C0F" w:rsidRPr="00A406C5">
        <w:rPr>
          <w:color w:val="000000"/>
        </w:rPr>
        <w:t xml:space="preserve">. </w:t>
      </w:r>
      <w:r w:rsidR="00AD1A1B" w:rsidRPr="00A406C5">
        <w:rPr>
          <w:color w:val="000000"/>
        </w:rPr>
        <w:t xml:space="preserve">The increases were driven </w:t>
      </w:r>
      <w:r w:rsidR="00F70C0F" w:rsidRPr="00A406C5">
        <w:rPr>
          <w:color w:val="000000"/>
        </w:rPr>
        <w:t xml:space="preserve">by </w:t>
      </w:r>
      <w:r w:rsidR="00DA0A51">
        <w:rPr>
          <w:color w:val="000000"/>
        </w:rPr>
        <w:t xml:space="preserve">insurance and </w:t>
      </w:r>
      <w:r w:rsidR="00B54E88">
        <w:rPr>
          <w:color w:val="000000"/>
        </w:rPr>
        <w:t>administrative</w:t>
      </w:r>
      <w:r w:rsidR="00DA0A51">
        <w:rPr>
          <w:color w:val="000000"/>
        </w:rPr>
        <w:t xml:space="preserve"> expenses</w:t>
      </w:r>
      <w:r w:rsidR="00AB3AFA" w:rsidRPr="00A406C5">
        <w:rPr>
          <w:color w:val="000000"/>
        </w:rPr>
        <w:t xml:space="preserve">. </w:t>
      </w:r>
    </w:p>
    <w:p w14:paraId="6815A8DB" w14:textId="21FBB5F3" w:rsidR="009B1C8E" w:rsidRDefault="009B1C8E" w:rsidP="00F70C0F">
      <w:pPr>
        <w:autoSpaceDE/>
        <w:adjustRightInd/>
        <w:jc w:val="both"/>
        <w:rPr>
          <w:color w:val="000000"/>
        </w:rPr>
      </w:pPr>
    </w:p>
    <w:p w14:paraId="73392B78" w14:textId="0CA8E82B" w:rsidR="009B1C8E" w:rsidRPr="00D55E86" w:rsidRDefault="009B1C8E" w:rsidP="009B1C8E">
      <w:pPr>
        <w:autoSpaceDE/>
        <w:adjustRightInd/>
        <w:jc w:val="both"/>
        <w:rPr>
          <w:color w:val="000000"/>
        </w:rPr>
      </w:pPr>
      <w:r>
        <w:rPr>
          <w:color w:val="000000"/>
        </w:rPr>
        <w:t>Management</w:t>
      </w:r>
      <w:r w:rsidR="00573F58">
        <w:rPr>
          <w:color w:val="000000"/>
        </w:rPr>
        <w:t xml:space="preserve"> </w:t>
      </w:r>
      <w:r>
        <w:rPr>
          <w:color w:val="000000"/>
        </w:rPr>
        <w:t>fee</w:t>
      </w:r>
      <w:r w:rsidR="00573F58">
        <w:rPr>
          <w:color w:val="000000"/>
        </w:rPr>
        <w:t xml:space="preserve"> </w:t>
      </w:r>
      <w:r>
        <w:rPr>
          <w:color w:val="000000"/>
        </w:rPr>
        <w:t xml:space="preserve">to LICT </w:t>
      </w:r>
      <w:r w:rsidRPr="00111DC1">
        <w:rPr>
          <w:color w:val="000000"/>
        </w:rPr>
        <w:t>Corporation</w:t>
      </w:r>
      <w:r>
        <w:rPr>
          <w:color w:val="000000"/>
        </w:rPr>
        <w:t xml:space="preserve"> </w:t>
      </w:r>
      <w:r w:rsidR="00573F58">
        <w:rPr>
          <w:color w:val="000000"/>
        </w:rPr>
        <w:t>for administrative services</w:t>
      </w:r>
      <w:r w:rsidR="00573F58" w:rsidRPr="002A011C">
        <w:rPr>
          <w:color w:val="000000"/>
        </w:rPr>
        <w:t xml:space="preserve"> </w:t>
      </w:r>
      <w:r w:rsidRPr="002A011C">
        <w:rPr>
          <w:color w:val="000000"/>
        </w:rPr>
        <w:t>of $3</w:t>
      </w:r>
      <w:r w:rsidR="00C605A4">
        <w:rPr>
          <w:color w:val="000000"/>
        </w:rPr>
        <w:t>1</w:t>
      </w:r>
      <w:r w:rsidRPr="002A011C">
        <w:rPr>
          <w:color w:val="000000"/>
        </w:rPr>
        <w:t>,000</w:t>
      </w:r>
      <w:r w:rsidR="00573F58">
        <w:rPr>
          <w:color w:val="000000"/>
        </w:rPr>
        <w:t xml:space="preserve"> includes </w:t>
      </w:r>
      <w:r w:rsidRPr="00111DC1">
        <w:rPr>
          <w:color w:val="000000"/>
        </w:rPr>
        <w:t>professional fees, insurance, shareholder expenses</w:t>
      </w:r>
      <w:r w:rsidR="000146BA">
        <w:rPr>
          <w:color w:val="000000"/>
        </w:rPr>
        <w:t>,</w:t>
      </w:r>
      <w:r w:rsidRPr="00111DC1">
        <w:rPr>
          <w:color w:val="000000"/>
        </w:rPr>
        <w:t xml:space="preserve"> and other miscellaneous office expenses. </w:t>
      </w:r>
    </w:p>
    <w:p w14:paraId="456FD3F1" w14:textId="77777777" w:rsidR="00573F58" w:rsidRPr="00D55E86" w:rsidRDefault="00573F58" w:rsidP="007B2E66">
      <w:pPr>
        <w:autoSpaceDE/>
        <w:adjustRightInd/>
        <w:jc w:val="both"/>
        <w:rPr>
          <w:color w:val="000000"/>
        </w:rPr>
      </w:pPr>
    </w:p>
    <w:p w14:paraId="2CF431D0" w14:textId="63F7B93F" w:rsidR="007B2E66" w:rsidRPr="005A5A34" w:rsidRDefault="007B2E66" w:rsidP="007B2E66">
      <w:pPr>
        <w:autoSpaceDE/>
        <w:adjustRightInd/>
        <w:jc w:val="both"/>
        <w:rPr>
          <w:color w:val="000000"/>
        </w:rPr>
      </w:pPr>
      <w:r w:rsidRPr="00244F88">
        <w:rPr>
          <w:color w:val="000000"/>
        </w:rPr>
        <w:t>Investment income of $</w:t>
      </w:r>
      <w:r w:rsidR="00353EAE">
        <w:rPr>
          <w:color w:val="000000"/>
        </w:rPr>
        <w:t>2</w:t>
      </w:r>
      <w:r w:rsidRPr="00244F88">
        <w:rPr>
          <w:color w:val="000000"/>
        </w:rPr>
        <w:t>,000 in 2021 and $</w:t>
      </w:r>
      <w:r w:rsidR="005A5A34" w:rsidRPr="00244F88">
        <w:rPr>
          <w:color w:val="000000"/>
        </w:rPr>
        <w:t>5,</w:t>
      </w:r>
      <w:r w:rsidRPr="00244F88">
        <w:rPr>
          <w:color w:val="000000"/>
        </w:rPr>
        <w:t>000 in 2020, primarily consist</w:t>
      </w:r>
      <w:r w:rsidR="009C22F7" w:rsidRPr="00244F88">
        <w:rPr>
          <w:color w:val="000000"/>
        </w:rPr>
        <w:t>ed</w:t>
      </w:r>
      <w:r w:rsidRPr="00244F88">
        <w:rPr>
          <w:color w:val="000000"/>
        </w:rPr>
        <w:t xml:space="preserve"> of interest from United States Treasury securities</w:t>
      </w:r>
      <w:r w:rsidR="004F6AE9" w:rsidRPr="00244F88">
        <w:rPr>
          <w:color w:val="000000"/>
        </w:rPr>
        <w:t xml:space="preserve"> and money market accounts</w:t>
      </w:r>
      <w:r w:rsidR="00244F88">
        <w:rPr>
          <w:color w:val="000000"/>
        </w:rPr>
        <w:t>.</w:t>
      </w:r>
      <w:r w:rsidRPr="005A5A34">
        <w:rPr>
          <w:color w:val="000000"/>
        </w:rPr>
        <w:t xml:space="preserve"> </w:t>
      </w:r>
    </w:p>
    <w:p w14:paraId="2F27B5EE" w14:textId="77777777" w:rsidR="007B2E66" w:rsidRPr="007B2E66" w:rsidRDefault="007B2E66" w:rsidP="007B2E66">
      <w:pPr>
        <w:autoSpaceDE/>
        <w:adjustRightInd/>
        <w:jc w:val="both"/>
        <w:rPr>
          <w:color w:val="000000"/>
          <w:highlight w:val="yellow"/>
        </w:rPr>
      </w:pPr>
    </w:p>
    <w:p w14:paraId="217B3C3C" w14:textId="09EEBA0A" w:rsidR="007B2E66" w:rsidRPr="004D613E" w:rsidRDefault="00E37DA8" w:rsidP="007B2E66">
      <w:pPr>
        <w:autoSpaceDE/>
        <w:adjustRightInd/>
        <w:jc w:val="both"/>
        <w:rPr>
          <w:color w:val="000000"/>
        </w:rPr>
      </w:pPr>
      <w:r>
        <w:rPr>
          <w:color w:val="000000"/>
        </w:rPr>
        <w:t>Investment income</w:t>
      </w:r>
      <w:r w:rsidR="007B2E66" w:rsidRPr="00E46AAB">
        <w:rPr>
          <w:color w:val="000000"/>
        </w:rPr>
        <w:t xml:space="preserve"> represents CIBL’s investment in a merger/arbitrage limited partnership investment. CIBL’s share was a </w:t>
      </w:r>
      <w:r w:rsidR="00E46AAB" w:rsidRPr="00E46AAB">
        <w:rPr>
          <w:color w:val="000000"/>
        </w:rPr>
        <w:t xml:space="preserve">gain </w:t>
      </w:r>
      <w:r w:rsidR="007B2E66" w:rsidRPr="00E46AAB">
        <w:rPr>
          <w:color w:val="000000"/>
        </w:rPr>
        <w:t>of $</w:t>
      </w:r>
      <w:r w:rsidR="00E46AAB" w:rsidRPr="00E46AAB">
        <w:rPr>
          <w:color w:val="000000"/>
        </w:rPr>
        <w:t>30</w:t>
      </w:r>
      <w:r w:rsidR="007B2E66" w:rsidRPr="00E46AAB">
        <w:rPr>
          <w:color w:val="000000"/>
        </w:rPr>
        <w:t>,000</w:t>
      </w:r>
      <w:r w:rsidR="004D613E" w:rsidRPr="00E46AAB">
        <w:rPr>
          <w:color w:val="000000"/>
        </w:rPr>
        <w:t xml:space="preserve"> and $</w:t>
      </w:r>
      <w:r w:rsidR="00E46AAB" w:rsidRPr="00E46AAB">
        <w:rPr>
          <w:color w:val="000000"/>
        </w:rPr>
        <w:t>51</w:t>
      </w:r>
      <w:r w:rsidR="004D613E" w:rsidRPr="00E46AAB">
        <w:rPr>
          <w:color w:val="000000"/>
        </w:rPr>
        <w:t xml:space="preserve">,000 </w:t>
      </w:r>
      <w:r w:rsidR="007B2E66" w:rsidRPr="00E46AAB">
        <w:rPr>
          <w:color w:val="000000"/>
        </w:rPr>
        <w:t xml:space="preserve">in 2021 and </w:t>
      </w:r>
      <w:r w:rsidR="004D613E" w:rsidRPr="00E46AAB">
        <w:rPr>
          <w:color w:val="000000"/>
        </w:rPr>
        <w:t>2020, respectively.</w:t>
      </w:r>
      <w:r w:rsidR="004D613E" w:rsidRPr="004D613E">
        <w:rPr>
          <w:color w:val="000000"/>
        </w:rPr>
        <w:t xml:space="preserve"> </w:t>
      </w:r>
    </w:p>
    <w:p w14:paraId="0FC29C4C" w14:textId="32BF7458" w:rsidR="007B2E66" w:rsidRDefault="007B2E66" w:rsidP="007B2E66">
      <w:pPr>
        <w:autoSpaceDE/>
        <w:adjustRightInd/>
        <w:jc w:val="both"/>
        <w:rPr>
          <w:color w:val="000000"/>
          <w:highlight w:val="yellow"/>
        </w:rPr>
      </w:pPr>
    </w:p>
    <w:p w14:paraId="75DF11C8" w14:textId="04395A59" w:rsidR="004D613E" w:rsidRPr="004D613E" w:rsidRDefault="004D613E" w:rsidP="007B2E66">
      <w:pPr>
        <w:autoSpaceDE/>
        <w:adjustRightInd/>
        <w:jc w:val="both"/>
        <w:rPr>
          <w:color w:val="000000"/>
        </w:rPr>
      </w:pPr>
      <w:r w:rsidRPr="004D613E">
        <w:rPr>
          <w:color w:val="000000"/>
        </w:rPr>
        <w:t xml:space="preserve">The Company’s effective tax rates for 2021 and 2020 </w:t>
      </w:r>
      <w:r w:rsidR="0053506B">
        <w:rPr>
          <w:color w:val="000000"/>
        </w:rPr>
        <w:t xml:space="preserve">periods </w:t>
      </w:r>
      <w:r w:rsidRPr="004D613E">
        <w:rPr>
          <w:color w:val="000000"/>
        </w:rPr>
        <w:t>were 2</w:t>
      </w:r>
      <w:r w:rsidR="000E25AC">
        <w:rPr>
          <w:color w:val="000000"/>
        </w:rPr>
        <w:t>3</w:t>
      </w:r>
      <w:r w:rsidRPr="004D613E">
        <w:rPr>
          <w:color w:val="000000"/>
        </w:rPr>
        <w:t>.</w:t>
      </w:r>
      <w:r w:rsidR="0053506B">
        <w:rPr>
          <w:color w:val="000000"/>
        </w:rPr>
        <w:t>4%</w:t>
      </w:r>
      <w:r w:rsidRPr="004D613E">
        <w:rPr>
          <w:color w:val="000000"/>
        </w:rPr>
        <w:t xml:space="preserve">. </w:t>
      </w:r>
    </w:p>
    <w:p w14:paraId="0CFD2FF2" w14:textId="77777777" w:rsidR="004D613E" w:rsidRPr="007B2E66" w:rsidRDefault="004D613E" w:rsidP="007B2E66">
      <w:pPr>
        <w:autoSpaceDE/>
        <w:adjustRightInd/>
        <w:jc w:val="both"/>
        <w:rPr>
          <w:color w:val="000000"/>
          <w:highlight w:val="yellow"/>
        </w:rPr>
      </w:pPr>
    </w:p>
    <w:p w14:paraId="74F411E9" w14:textId="0DEF8C23" w:rsidR="007B2E66" w:rsidRDefault="007B2E66" w:rsidP="007B2E66">
      <w:pPr>
        <w:autoSpaceDE/>
        <w:adjustRightInd/>
        <w:jc w:val="both"/>
        <w:outlineLvl w:val="0"/>
        <w:rPr>
          <w:color w:val="000000"/>
        </w:rPr>
      </w:pPr>
      <w:r w:rsidRPr="00F52E00">
        <w:rPr>
          <w:color w:val="000000"/>
        </w:rPr>
        <w:t xml:space="preserve">As a net result, CIBL’s operations had </w:t>
      </w:r>
      <w:r w:rsidR="009C22F7" w:rsidRPr="00F52E00">
        <w:rPr>
          <w:color w:val="000000"/>
        </w:rPr>
        <w:t xml:space="preserve">a </w:t>
      </w:r>
      <w:r w:rsidRPr="00F52E00">
        <w:rPr>
          <w:color w:val="000000"/>
        </w:rPr>
        <w:t xml:space="preserve">net </w:t>
      </w:r>
      <w:r w:rsidR="004D613E" w:rsidRPr="00F52E00">
        <w:rPr>
          <w:color w:val="000000"/>
        </w:rPr>
        <w:t xml:space="preserve">loss </w:t>
      </w:r>
      <w:r w:rsidRPr="00F52E00">
        <w:rPr>
          <w:color w:val="000000"/>
        </w:rPr>
        <w:t>of $</w:t>
      </w:r>
      <w:r w:rsidR="00F52E00" w:rsidRPr="00F52E00">
        <w:rPr>
          <w:color w:val="000000"/>
        </w:rPr>
        <w:t>59</w:t>
      </w:r>
      <w:r w:rsidRPr="00F52E00">
        <w:rPr>
          <w:color w:val="000000"/>
        </w:rPr>
        <w:t>,000, or $</w:t>
      </w:r>
      <w:r w:rsidR="004D613E" w:rsidRPr="00F52E00">
        <w:rPr>
          <w:color w:val="000000"/>
        </w:rPr>
        <w:t>(</w:t>
      </w:r>
      <w:r w:rsidR="00F52E00" w:rsidRPr="00F52E00">
        <w:rPr>
          <w:color w:val="000000"/>
        </w:rPr>
        <w:t>3</w:t>
      </w:r>
      <w:r w:rsidRPr="00F52E00">
        <w:rPr>
          <w:color w:val="000000"/>
        </w:rPr>
        <w:t>.</w:t>
      </w:r>
      <w:r w:rsidR="00F52E00" w:rsidRPr="00F52E00">
        <w:rPr>
          <w:color w:val="000000"/>
        </w:rPr>
        <w:t>87</w:t>
      </w:r>
      <w:r w:rsidR="004D613E" w:rsidRPr="00F52E00">
        <w:rPr>
          <w:color w:val="000000"/>
        </w:rPr>
        <w:t>)</w:t>
      </w:r>
      <w:r w:rsidRPr="00F52E00">
        <w:rPr>
          <w:color w:val="000000"/>
        </w:rPr>
        <w:t xml:space="preserve"> per share in 2021 as compared to a net loss of $</w:t>
      </w:r>
      <w:r w:rsidR="004D613E" w:rsidRPr="00F52E00">
        <w:rPr>
          <w:color w:val="000000"/>
        </w:rPr>
        <w:t>3</w:t>
      </w:r>
      <w:r w:rsidR="00F52E00" w:rsidRPr="00F52E00">
        <w:rPr>
          <w:color w:val="000000"/>
        </w:rPr>
        <w:t>6</w:t>
      </w:r>
      <w:r w:rsidRPr="00F52E00">
        <w:rPr>
          <w:color w:val="000000"/>
        </w:rPr>
        <w:t>,000, or $(</w:t>
      </w:r>
      <w:r w:rsidR="00F52E00" w:rsidRPr="00F52E00">
        <w:rPr>
          <w:color w:val="000000"/>
        </w:rPr>
        <w:t>2</w:t>
      </w:r>
      <w:r w:rsidRPr="00F52E00">
        <w:rPr>
          <w:color w:val="000000"/>
        </w:rPr>
        <w:t>.</w:t>
      </w:r>
      <w:r w:rsidR="00F52E00" w:rsidRPr="00F52E00">
        <w:rPr>
          <w:color w:val="000000"/>
        </w:rPr>
        <w:t>16</w:t>
      </w:r>
      <w:r w:rsidRPr="00F52E00">
        <w:rPr>
          <w:color w:val="000000"/>
        </w:rPr>
        <w:t>) per share, respectively.</w:t>
      </w:r>
      <w:r w:rsidRPr="007A0966">
        <w:rPr>
          <w:color w:val="000000"/>
        </w:rPr>
        <w:t xml:space="preserve"> </w:t>
      </w:r>
    </w:p>
    <w:p w14:paraId="5154BD3D" w14:textId="3AECBC0F" w:rsidR="00BD0499" w:rsidRDefault="00BD0499" w:rsidP="009E0EDC">
      <w:pPr>
        <w:autoSpaceDE/>
        <w:adjustRightInd/>
        <w:jc w:val="both"/>
        <w:outlineLvl w:val="0"/>
        <w:rPr>
          <w:b/>
          <w:color w:val="000000"/>
        </w:rPr>
      </w:pPr>
    </w:p>
    <w:p w14:paraId="5723AF4A" w14:textId="0CBA387E" w:rsidR="009E0EDC" w:rsidRPr="00D55E86" w:rsidRDefault="007E1167" w:rsidP="009E0EDC">
      <w:pPr>
        <w:autoSpaceDE/>
        <w:adjustRightInd/>
        <w:jc w:val="both"/>
        <w:outlineLvl w:val="0"/>
        <w:rPr>
          <w:b/>
          <w:bCs/>
          <w:color w:val="000000"/>
        </w:rPr>
      </w:pPr>
      <w:bookmarkStart w:id="36" w:name="_Hlk74903481"/>
      <w:bookmarkStart w:id="37" w:name="_Hlk80101959"/>
      <w:r>
        <w:rPr>
          <w:b/>
          <w:bCs/>
          <w:color w:val="000000"/>
        </w:rPr>
        <w:t>Nine</w:t>
      </w:r>
      <w:r w:rsidR="0064048D">
        <w:rPr>
          <w:b/>
          <w:bCs/>
          <w:color w:val="000000"/>
        </w:rPr>
        <w:t xml:space="preserve"> Months Ended </w:t>
      </w:r>
      <w:r>
        <w:rPr>
          <w:b/>
          <w:bCs/>
          <w:color w:val="000000"/>
        </w:rPr>
        <w:t>September</w:t>
      </w:r>
      <w:r w:rsidR="008B171B">
        <w:rPr>
          <w:b/>
          <w:bCs/>
          <w:color w:val="000000"/>
        </w:rPr>
        <w:t xml:space="preserve"> 3</w:t>
      </w:r>
      <w:r w:rsidR="005C705D">
        <w:rPr>
          <w:b/>
          <w:bCs/>
          <w:color w:val="000000"/>
        </w:rPr>
        <w:t>0</w:t>
      </w:r>
      <w:r w:rsidR="00AF4271">
        <w:rPr>
          <w:b/>
          <w:bCs/>
          <w:color w:val="000000"/>
        </w:rPr>
        <w:t xml:space="preserve">, </w:t>
      </w:r>
      <w:r w:rsidR="005C73A6">
        <w:rPr>
          <w:b/>
          <w:bCs/>
          <w:color w:val="000000"/>
        </w:rPr>
        <w:t>2021,</w:t>
      </w:r>
      <w:r w:rsidR="004F31E2">
        <w:rPr>
          <w:b/>
          <w:bCs/>
          <w:color w:val="000000"/>
        </w:rPr>
        <w:t xml:space="preserve"> </w:t>
      </w:r>
      <w:r w:rsidR="009E0EDC" w:rsidRPr="00D55E86">
        <w:rPr>
          <w:b/>
          <w:bCs/>
          <w:color w:val="000000"/>
        </w:rPr>
        <w:t xml:space="preserve">compared to </w:t>
      </w:r>
      <w:r w:rsidR="00A01C87" w:rsidRPr="00D55E86">
        <w:rPr>
          <w:b/>
          <w:bCs/>
          <w:color w:val="000000"/>
        </w:rPr>
        <w:t>20</w:t>
      </w:r>
      <w:r w:rsidR="00A01C87">
        <w:rPr>
          <w:b/>
          <w:bCs/>
          <w:color w:val="000000"/>
        </w:rPr>
        <w:t>20.</w:t>
      </w:r>
    </w:p>
    <w:p w14:paraId="0F089316" w14:textId="77777777" w:rsidR="009E0EDC" w:rsidRPr="00D55E86" w:rsidRDefault="009E0EDC" w:rsidP="009E0EDC">
      <w:pPr>
        <w:autoSpaceDE/>
        <w:adjustRightInd/>
        <w:jc w:val="both"/>
        <w:outlineLvl w:val="0"/>
        <w:rPr>
          <w:b/>
          <w:bCs/>
          <w:color w:val="000000"/>
        </w:rPr>
      </w:pPr>
    </w:p>
    <w:p w14:paraId="6BE46B20" w14:textId="1C0D49EF" w:rsidR="00893749" w:rsidRPr="003B0D93" w:rsidRDefault="00730524" w:rsidP="00893749">
      <w:pPr>
        <w:autoSpaceDE/>
        <w:adjustRightInd/>
        <w:jc w:val="both"/>
        <w:rPr>
          <w:color w:val="000000"/>
        </w:rPr>
      </w:pPr>
      <w:r w:rsidRPr="00021925">
        <w:rPr>
          <w:color w:val="000000"/>
        </w:rPr>
        <w:t xml:space="preserve">In the </w:t>
      </w:r>
      <w:r w:rsidR="003B0D93" w:rsidRPr="00021925">
        <w:rPr>
          <w:color w:val="000000"/>
        </w:rPr>
        <w:t xml:space="preserve">first </w:t>
      </w:r>
      <w:r w:rsidR="007E1167" w:rsidRPr="00021925">
        <w:rPr>
          <w:color w:val="000000"/>
        </w:rPr>
        <w:t>nine</w:t>
      </w:r>
      <w:r w:rsidR="003B0D93" w:rsidRPr="00021925">
        <w:rPr>
          <w:color w:val="000000"/>
        </w:rPr>
        <w:t xml:space="preserve"> months of </w:t>
      </w:r>
      <w:r w:rsidRPr="00021925">
        <w:rPr>
          <w:color w:val="000000"/>
        </w:rPr>
        <w:t>2021 r</w:t>
      </w:r>
      <w:r w:rsidR="005C22F9" w:rsidRPr="00021925">
        <w:rPr>
          <w:color w:val="000000"/>
        </w:rPr>
        <w:t xml:space="preserve">evenues </w:t>
      </w:r>
      <w:r w:rsidRPr="00021925">
        <w:rPr>
          <w:color w:val="000000"/>
        </w:rPr>
        <w:t>increased by $</w:t>
      </w:r>
      <w:r w:rsidR="00021925" w:rsidRPr="00021925">
        <w:rPr>
          <w:color w:val="000000"/>
        </w:rPr>
        <w:t>97</w:t>
      </w:r>
      <w:r w:rsidRPr="00021925">
        <w:rPr>
          <w:color w:val="000000"/>
        </w:rPr>
        <w:t>,000 to $</w:t>
      </w:r>
      <w:r w:rsidR="00021925" w:rsidRPr="00021925">
        <w:rPr>
          <w:color w:val="000000"/>
        </w:rPr>
        <w:t>1,429</w:t>
      </w:r>
      <w:r w:rsidRPr="00021925">
        <w:rPr>
          <w:color w:val="000000"/>
        </w:rPr>
        <w:t>,000 from $</w:t>
      </w:r>
      <w:r w:rsidR="00021925" w:rsidRPr="00021925">
        <w:rPr>
          <w:color w:val="000000"/>
        </w:rPr>
        <w:t>1,332,</w:t>
      </w:r>
      <w:r w:rsidRPr="00021925">
        <w:rPr>
          <w:color w:val="000000"/>
        </w:rPr>
        <w:t>000</w:t>
      </w:r>
      <w:r w:rsidR="00DC5DFF" w:rsidRPr="00021925">
        <w:rPr>
          <w:color w:val="000000"/>
        </w:rPr>
        <w:t xml:space="preserve"> </w:t>
      </w:r>
      <w:r w:rsidR="00353EAE">
        <w:rPr>
          <w:color w:val="000000"/>
        </w:rPr>
        <w:t xml:space="preserve">that was mostly </w:t>
      </w:r>
      <w:r w:rsidR="00DC5DFF" w:rsidRPr="00021925">
        <w:rPr>
          <w:color w:val="000000"/>
        </w:rPr>
        <w:t xml:space="preserve">due to </w:t>
      </w:r>
      <w:r w:rsidR="00A713C6" w:rsidRPr="00021925">
        <w:rPr>
          <w:bCs/>
          <w:color w:val="000000"/>
        </w:rPr>
        <w:t xml:space="preserve">non-recurring </w:t>
      </w:r>
      <w:r w:rsidR="00A713C6" w:rsidRPr="00021925">
        <w:rPr>
          <w:color w:val="000000"/>
        </w:rPr>
        <w:t>project</w:t>
      </w:r>
      <w:r w:rsidR="004F6AE9" w:rsidRPr="00021925">
        <w:rPr>
          <w:color w:val="000000"/>
        </w:rPr>
        <w:t xml:space="preserve"> that w</w:t>
      </w:r>
      <w:r w:rsidR="00353EAE">
        <w:rPr>
          <w:color w:val="000000"/>
        </w:rPr>
        <w:t>as completed</w:t>
      </w:r>
      <w:r w:rsidR="004F6AE9" w:rsidRPr="00021925">
        <w:rPr>
          <w:color w:val="000000"/>
        </w:rPr>
        <w:t xml:space="preserve"> in the third quarter of 2021</w:t>
      </w:r>
      <w:proofErr w:type="gramStart"/>
      <w:r w:rsidR="00893749" w:rsidRPr="00021925">
        <w:rPr>
          <w:bCs/>
          <w:color w:val="000000"/>
        </w:rPr>
        <w:t>.</w:t>
      </w:r>
      <w:r w:rsidR="00893749" w:rsidRPr="00A46566">
        <w:rPr>
          <w:bCs/>
          <w:color w:val="000000"/>
        </w:rPr>
        <w:t xml:space="preserve">  </w:t>
      </w:r>
      <w:proofErr w:type="gramEnd"/>
      <w:r w:rsidR="00893749" w:rsidRPr="00A46566">
        <w:rPr>
          <w:bCs/>
          <w:color w:val="000000"/>
        </w:rPr>
        <w:t xml:space="preserve">   </w:t>
      </w:r>
    </w:p>
    <w:p w14:paraId="52B459C3" w14:textId="77777777" w:rsidR="00893749" w:rsidRDefault="00893749" w:rsidP="009E6A7E">
      <w:pPr>
        <w:autoSpaceDE/>
        <w:adjustRightInd/>
        <w:jc w:val="both"/>
        <w:rPr>
          <w:color w:val="000000"/>
          <w:highlight w:val="yellow"/>
        </w:rPr>
      </w:pPr>
    </w:p>
    <w:bookmarkEnd w:id="36"/>
    <w:p w14:paraId="33C43CEE" w14:textId="0EE66157" w:rsidR="0019009E" w:rsidRDefault="00BA3BDE" w:rsidP="0019009E">
      <w:pPr>
        <w:autoSpaceDE/>
        <w:adjustRightInd/>
        <w:jc w:val="both"/>
        <w:rPr>
          <w:color w:val="000000"/>
        </w:rPr>
      </w:pPr>
      <w:r w:rsidRPr="0019009E">
        <w:rPr>
          <w:color w:val="000000"/>
        </w:rPr>
        <w:t>EBIT</w:t>
      </w:r>
      <w:r w:rsidR="00B217B4" w:rsidRPr="0019009E">
        <w:rPr>
          <w:color w:val="000000"/>
        </w:rPr>
        <w:t>D</w:t>
      </w:r>
      <w:r w:rsidRPr="0019009E">
        <w:rPr>
          <w:color w:val="000000"/>
        </w:rPr>
        <w:t xml:space="preserve">A </w:t>
      </w:r>
      <w:r w:rsidR="00F17734" w:rsidRPr="0019009E">
        <w:rPr>
          <w:color w:val="000000"/>
        </w:rPr>
        <w:t xml:space="preserve">for the first </w:t>
      </w:r>
      <w:r w:rsidR="007E1167">
        <w:rPr>
          <w:color w:val="000000"/>
        </w:rPr>
        <w:t>nine</w:t>
      </w:r>
      <w:r w:rsidR="00F17734" w:rsidRPr="0019009E">
        <w:rPr>
          <w:color w:val="000000"/>
        </w:rPr>
        <w:t xml:space="preserve"> months </w:t>
      </w:r>
      <w:r w:rsidR="00451245" w:rsidRPr="0019009E">
        <w:rPr>
          <w:color w:val="000000"/>
        </w:rPr>
        <w:t xml:space="preserve">of 2021 </w:t>
      </w:r>
      <w:r w:rsidR="0019009E" w:rsidRPr="0019009E">
        <w:rPr>
          <w:color w:val="000000"/>
        </w:rPr>
        <w:t xml:space="preserve">increased </w:t>
      </w:r>
      <w:r w:rsidR="000E72BF" w:rsidRPr="0019009E">
        <w:rPr>
          <w:color w:val="000000"/>
        </w:rPr>
        <w:t>by</w:t>
      </w:r>
      <w:r w:rsidR="00DA0BD8" w:rsidRPr="0019009E">
        <w:rPr>
          <w:color w:val="000000"/>
        </w:rPr>
        <w:t xml:space="preserve"> </w:t>
      </w:r>
      <w:r w:rsidR="00574074" w:rsidRPr="0019009E">
        <w:rPr>
          <w:color w:val="000000"/>
        </w:rPr>
        <w:t>$</w:t>
      </w:r>
      <w:r w:rsidR="00021925">
        <w:rPr>
          <w:color w:val="000000"/>
        </w:rPr>
        <w:t>6</w:t>
      </w:r>
      <w:r w:rsidR="000F67D7">
        <w:rPr>
          <w:color w:val="000000"/>
        </w:rPr>
        <w:t>3</w:t>
      </w:r>
      <w:r w:rsidR="005F0309" w:rsidRPr="0019009E">
        <w:rPr>
          <w:color w:val="000000"/>
        </w:rPr>
        <w:t>,00</w:t>
      </w:r>
      <w:r w:rsidR="00574074" w:rsidRPr="0019009E">
        <w:rPr>
          <w:color w:val="000000"/>
        </w:rPr>
        <w:t>0</w:t>
      </w:r>
      <w:r w:rsidR="00DA0BD8" w:rsidRPr="0019009E">
        <w:rPr>
          <w:color w:val="000000"/>
        </w:rPr>
        <w:t xml:space="preserve"> to</w:t>
      </w:r>
      <w:r w:rsidR="000F67D7">
        <w:rPr>
          <w:color w:val="000000"/>
        </w:rPr>
        <w:t xml:space="preserve"> </w:t>
      </w:r>
      <w:r w:rsidR="00DA0BD8" w:rsidRPr="0019009E">
        <w:rPr>
          <w:color w:val="000000"/>
        </w:rPr>
        <w:t>$</w:t>
      </w:r>
      <w:r w:rsidR="00021925">
        <w:rPr>
          <w:color w:val="000000"/>
        </w:rPr>
        <w:t>407</w:t>
      </w:r>
      <w:r w:rsidR="00451245" w:rsidRPr="0019009E">
        <w:rPr>
          <w:color w:val="000000"/>
        </w:rPr>
        <w:t xml:space="preserve">,000 </w:t>
      </w:r>
      <w:r w:rsidR="000F67D7">
        <w:rPr>
          <w:color w:val="000000"/>
        </w:rPr>
        <w:t xml:space="preserve">from </w:t>
      </w:r>
      <w:r w:rsidR="00DA0BD8" w:rsidRPr="0019009E">
        <w:rPr>
          <w:color w:val="000000"/>
        </w:rPr>
        <w:t>$</w:t>
      </w:r>
      <w:r w:rsidR="00021925">
        <w:rPr>
          <w:color w:val="000000"/>
        </w:rPr>
        <w:t>344</w:t>
      </w:r>
      <w:r w:rsidR="00451245" w:rsidRPr="0019009E">
        <w:rPr>
          <w:color w:val="000000"/>
        </w:rPr>
        <w:t>,</w:t>
      </w:r>
      <w:r w:rsidR="00DA0BD8" w:rsidRPr="0019009E">
        <w:rPr>
          <w:color w:val="000000"/>
        </w:rPr>
        <w:t>000 in 20</w:t>
      </w:r>
      <w:r w:rsidR="0086127E" w:rsidRPr="0019009E">
        <w:rPr>
          <w:color w:val="000000"/>
        </w:rPr>
        <w:t>20</w:t>
      </w:r>
      <w:r w:rsidR="0019009E">
        <w:rPr>
          <w:color w:val="000000"/>
        </w:rPr>
        <w:t>.</w:t>
      </w:r>
      <w:r w:rsidR="009160D9">
        <w:rPr>
          <w:color w:val="000000"/>
        </w:rPr>
        <w:t xml:space="preserve"> </w:t>
      </w:r>
      <w:r w:rsidR="00356C70" w:rsidRPr="00A713C6">
        <w:rPr>
          <w:color w:val="000000"/>
        </w:rPr>
        <w:t>The increase</w:t>
      </w:r>
      <w:r w:rsidR="00AF56D4" w:rsidRPr="00A713C6">
        <w:rPr>
          <w:color w:val="000000"/>
        </w:rPr>
        <w:t xml:space="preserve">s were </w:t>
      </w:r>
      <w:r w:rsidR="00BB02B2" w:rsidRPr="00A713C6">
        <w:rPr>
          <w:color w:val="000000"/>
        </w:rPr>
        <w:t xml:space="preserve">primarily </w:t>
      </w:r>
      <w:r w:rsidR="00AF56D4" w:rsidRPr="00A713C6">
        <w:rPr>
          <w:color w:val="000000"/>
        </w:rPr>
        <w:t>driven</w:t>
      </w:r>
      <w:r w:rsidR="009C22F7">
        <w:rPr>
          <w:color w:val="000000"/>
        </w:rPr>
        <w:t xml:space="preserve"> </w:t>
      </w:r>
      <w:r w:rsidR="000146BA">
        <w:rPr>
          <w:color w:val="000000"/>
        </w:rPr>
        <w:t xml:space="preserve">by </w:t>
      </w:r>
      <w:r w:rsidR="009C22F7">
        <w:rPr>
          <w:color w:val="000000"/>
        </w:rPr>
        <w:t xml:space="preserve">the increase in revenues and </w:t>
      </w:r>
      <w:r w:rsidR="00AF56D4" w:rsidRPr="00A713C6">
        <w:rPr>
          <w:color w:val="000000"/>
        </w:rPr>
        <w:t xml:space="preserve">a </w:t>
      </w:r>
      <w:r w:rsidR="00356C70" w:rsidRPr="00A713C6">
        <w:rPr>
          <w:color w:val="000000"/>
        </w:rPr>
        <w:t>decline in New Hampshire general and administrative expenses</w:t>
      </w:r>
      <w:proofErr w:type="gramStart"/>
      <w:r w:rsidR="00E37DA8" w:rsidRPr="00A713C6">
        <w:rPr>
          <w:color w:val="000000"/>
        </w:rPr>
        <w:t xml:space="preserve">. </w:t>
      </w:r>
      <w:r w:rsidR="0019009E" w:rsidRPr="00A713C6">
        <w:rPr>
          <w:color w:val="000000"/>
        </w:rPr>
        <w:t xml:space="preserve"> </w:t>
      </w:r>
      <w:proofErr w:type="gramEnd"/>
      <w:r w:rsidR="0019009E" w:rsidRPr="00A713C6">
        <w:rPr>
          <w:color w:val="000000"/>
        </w:rPr>
        <w:t xml:space="preserve"> </w:t>
      </w:r>
    </w:p>
    <w:p w14:paraId="068BFE50" w14:textId="503F1C0B" w:rsidR="00900361" w:rsidRDefault="00900361" w:rsidP="009E6A7E">
      <w:pPr>
        <w:autoSpaceDE/>
        <w:adjustRightInd/>
        <w:jc w:val="both"/>
        <w:rPr>
          <w:color w:val="000000"/>
        </w:rPr>
      </w:pPr>
    </w:p>
    <w:tbl>
      <w:tblPr>
        <w:tblW w:w="8064" w:type="dxa"/>
        <w:tblLook w:val="04A0" w:firstRow="1" w:lastRow="0" w:firstColumn="1" w:lastColumn="0" w:noHBand="0" w:noVBand="1"/>
      </w:tblPr>
      <w:tblGrid>
        <w:gridCol w:w="4853"/>
        <w:gridCol w:w="1541"/>
        <w:gridCol w:w="384"/>
        <w:gridCol w:w="1286"/>
      </w:tblGrid>
      <w:tr w:rsidR="006923D6" w:rsidRPr="004B1A43" w14:paraId="1BAE074B" w14:textId="77777777" w:rsidTr="002F13CD">
        <w:trPr>
          <w:trHeight w:val="288"/>
        </w:trPr>
        <w:tc>
          <w:tcPr>
            <w:tcW w:w="4853" w:type="dxa"/>
            <w:tcBorders>
              <w:top w:val="nil"/>
              <w:left w:val="nil"/>
              <w:bottom w:val="nil"/>
              <w:right w:val="nil"/>
            </w:tcBorders>
            <w:shd w:val="clear" w:color="auto" w:fill="auto"/>
            <w:noWrap/>
            <w:vAlign w:val="bottom"/>
            <w:hideMark/>
          </w:tcPr>
          <w:p w14:paraId="6C239579" w14:textId="6E21EC20" w:rsidR="006923D6" w:rsidRPr="0070658C" w:rsidRDefault="006923D6" w:rsidP="00B432EA">
            <w:pPr>
              <w:autoSpaceDE/>
              <w:autoSpaceDN/>
              <w:adjustRightInd/>
              <w:jc w:val="both"/>
            </w:pPr>
          </w:p>
          <w:p w14:paraId="69F26993" w14:textId="77777777" w:rsidR="006923D6" w:rsidRPr="0070658C" w:rsidRDefault="006923D6" w:rsidP="00B432EA">
            <w:pPr>
              <w:autoSpaceDE/>
              <w:autoSpaceDN/>
              <w:adjustRightInd/>
              <w:jc w:val="both"/>
            </w:pPr>
          </w:p>
          <w:p w14:paraId="6F1AFA61" w14:textId="2C2A32FA" w:rsidR="006923D6" w:rsidRPr="0070658C" w:rsidRDefault="006923D6" w:rsidP="00B432EA">
            <w:pPr>
              <w:autoSpaceDE/>
              <w:autoSpaceDN/>
              <w:adjustRightInd/>
              <w:jc w:val="both"/>
            </w:pPr>
          </w:p>
        </w:tc>
        <w:tc>
          <w:tcPr>
            <w:tcW w:w="3211" w:type="dxa"/>
            <w:gridSpan w:val="3"/>
            <w:tcBorders>
              <w:top w:val="nil"/>
              <w:left w:val="nil"/>
              <w:right w:val="nil"/>
            </w:tcBorders>
            <w:shd w:val="clear" w:color="auto" w:fill="auto"/>
            <w:noWrap/>
            <w:vAlign w:val="bottom"/>
            <w:hideMark/>
          </w:tcPr>
          <w:p w14:paraId="24042FF3" w14:textId="5F626866" w:rsidR="006923D6" w:rsidRPr="0070658C" w:rsidRDefault="006923D6" w:rsidP="00B432EA">
            <w:pPr>
              <w:autoSpaceDE/>
              <w:autoSpaceDN/>
              <w:adjustRightInd/>
              <w:jc w:val="center"/>
            </w:pPr>
          </w:p>
          <w:p w14:paraId="79045A3D" w14:textId="07C86AC2" w:rsidR="006923D6" w:rsidRPr="0070658C" w:rsidRDefault="007E1167" w:rsidP="002F13CD">
            <w:pPr>
              <w:pBdr>
                <w:bottom w:val="single" w:sz="4" w:space="1" w:color="auto"/>
              </w:pBdr>
              <w:autoSpaceDE/>
              <w:autoSpaceDN/>
              <w:adjustRightInd/>
              <w:jc w:val="center"/>
            </w:pPr>
            <w:r>
              <w:t>Nine</w:t>
            </w:r>
            <w:r w:rsidR="00442F89">
              <w:t xml:space="preserve"> </w:t>
            </w:r>
            <w:r w:rsidR="006923D6" w:rsidRPr="0070658C">
              <w:t>Months Ended</w:t>
            </w:r>
          </w:p>
          <w:p w14:paraId="3706D1DE" w14:textId="2571FA79" w:rsidR="006923D6" w:rsidRPr="0070658C" w:rsidRDefault="006923D6" w:rsidP="002F13CD">
            <w:pPr>
              <w:pBdr>
                <w:bottom w:val="single" w:sz="4" w:space="1" w:color="auto"/>
              </w:pBdr>
              <w:autoSpaceDE/>
              <w:autoSpaceDN/>
              <w:adjustRightInd/>
              <w:jc w:val="center"/>
            </w:pPr>
            <w:r w:rsidRPr="0070658C">
              <w:t xml:space="preserve"> </w:t>
            </w:r>
            <w:r w:rsidR="00E37DA8">
              <w:t>September</w:t>
            </w:r>
            <w:r w:rsidR="00DF0A4D" w:rsidRPr="0070658C">
              <w:t xml:space="preserve"> 3</w:t>
            </w:r>
            <w:r w:rsidR="005C705D">
              <w:t>0</w:t>
            </w:r>
            <w:r w:rsidRPr="0070658C">
              <w:t>,</w:t>
            </w:r>
          </w:p>
        </w:tc>
      </w:tr>
      <w:tr w:rsidR="006923D6" w:rsidRPr="004B1A43" w14:paraId="71CD0ACD" w14:textId="77777777" w:rsidTr="002F13CD">
        <w:trPr>
          <w:trHeight w:val="288"/>
        </w:trPr>
        <w:tc>
          <w:tcPr>
            <w:tcW w:w="4853" w:type="dxa"/>
            <w:tcBorders>
              <w:top w:val="nil"/>
              <w:left w:val="nil"/>
              <w:bottom w:val="nil"/>
              <w:right w:val="nil"/>
            </w:tcBorders>
            <w:shd w:val="clear" w:color="auto" w:fill="auto"/>
            <w:noWrap/>
            <w:vAlign w:val="bottom"/>
            <w:hideMark/>
          </w:tcPr>
          <w:p w14:paraId="7E5A9352" w14:textId="4FC83265" w:rsidR="006923D6" w:rsidRPr="0070658C" w:rsidRDefault="00173940" w:rsidP="00B432EA">
            <w:pPr>
              <w:autoSpaceDE/>
              <w:autoSpaceDN/>
              <w:adjustRightInd/>
              <w:jc w:val="center"/>
            </w:pPr>
            <w:r w:rsidRPr="00984E5E">
              <w:rPr>
                <w:i/>
                <w:iCs/>
              </w:rPr>
              <w:t>(</w:t>
            </w:r>
            <w:proofErr w:type="gramStart"/>
            <w:r w:rsidRPr="00984E5E">
              <w:rPr>
                <w:i/>
                <w:iCs/>
              </w:rPr>
              <w:t>in</w:t>
            </w:r>
            <w:proofErr w:type="gramEnd"/>
            <w:r w:rsidRPr="00984E5E">
              <w:rPr>
                <w:i/>
                <w:iCs/>
              </w:rPr>
              <w:t xml:space="preserve"> thousands)</w:t>
            </w:r>
          </w:p>
        </w:tc>
        <w:tc>
          <w:tcPr>
            <w:tcW w:w="1541" w:type="dxa"/>
            <w:tcBorders>
              <w:left w:val="nil"/>
              <w:bottom w:val="single" w:sz="4" w:space="0" w:color="auto"/>
              <w:right w:val="nil"/>
            </w:tcBorders>
            <w:shd w:val="clear" w:color="auto" w:fill="auto"/>
            <w:noWrap/>
            <w:vAlign w:val="bottom"/>
            <w:hideMark/>
          </w:tcPr>
          <w:p w14:paraId="73D2B123" w14:textId="7BFD4760" w:rsidR="006923D6" w:rsidRPr="0070658C" w:rsidRDefault="006923D6" w:rsidP="00B432EA">
            <w:pPr>
              <w:autoSpaceDE/>
              <w:autoSpaceDN/>
              <w:adjustRightInd/>
              <w:jc w:val="center"/>
            </w:pPr>
            <w:r w:rsidRPr="0070658C">
              <w:t>202</w:t>
            </w:r>
            <w:r w:rsidR="0086127E">
              <w:t>1</w:t>
            </w:r>
          </w:p>
        </w:tc>
        <w:tc>
          <w:tcPr>
            <w:tcW w:w="384" w:type="dxa"/>
            <w:tcBorders>
              <w:left w:val="nil"/>
              <w:bottom w:val="nil"/>
              <w:right w:val="nil"/>
            </w:tcBorders>
            <w:shd w:val="clear" w:color="auto" w:fill="auto"/>
            <w:noWrap/>
            <w:vAlign w:val="bottom"/>
            <w:hideMark/>
          </w:tcPr>
          <w:p w14:paraId="74E291C2" w14:textId="77777777" w:rsidR="006923D6" w:rsidRPr="0070658C" w:rsidRDefault="006923D6" w:rsidP="00B432EA">
            <w:pPr>
              <w:autoSpaceDE/>
              <w:autoSpaceDN/>
              <w:adjustRightInd/>
              <w:jc w:val="center"/>
            </w:pPr>
            <w:r w:rsidRPr="0070658C">
              <w:t> </w:t>
            </w:r>
          </w:p>
        </w:tc>
        <w:tc>
          <w:tcPr>
            <w:tcW w:w="1286" w:type="dxa"/>
            <w:tcBorders>
              <w:left w:val="nil"/>
              <w:bottom w:val="single" w:sz="4" w:space="0" w:color="auto"/>
              <w:right w:val="nil"/>
            </w:tcBorders>
            <w:shd w:val="clear" w:color="auto" w:fill="auto"/>
            <w:noWrap/>
            <w:vAlign w:val="bottom"/>
            <w:hideMark/>
          </w:tcPr>
          <w:p w14:paraId="32FEBE08" w14:textId="3EA833C6" w:rsidR="006923D6" w:rsidRPr="0070658C" w:rsidRDefault="006923D6" w:rsidP="00B432EA">
            <w:pPr>
              <w:autoSpaceDE/>
              <w:autoSpaceDN/>
              <w:adjustRightInd/>
              <w:jc w:val="center"/>
            </w:pPr>
            <w:r w:rsidRPr="0070658C">
              <w:t>20</w:t>
            </w:r>
            <w:r w:rsidR="0086127E">
              <w:t>20</w:t>
            </w:r>
          </w:p>
        </w:tc>
      </w:tr>
      <w:tr w:rsidR="006923D6" w:rsidRPr="004B1A43" w14:paraId="1474DFC0" w14:textId="77777777" w:rsidTr="006923D6">
        <w:trPr>
          <w:trHeight w:val="261"/>
        </w:trPr>
        <w:tc>
          <w:tcPr>
            <w:tcW w:w="4853" w:type="dxa"/>
            <w:tcBorders>
              <w:top w:val="nil"/>
              <w:left w:val="nil"/>
              <w:bottom w:val="nil"/>
              <w:right w:val="nil"/>
            </w:tcBorders>
            <w:shd w:val="clear" w:color="auto" w:fill="auto"/>
            <w:noWrap/>
            <w:vAlign w:val="bottom"/>
          </w:tcPr>
          <w:p w14:paraId="622448C4" w14:textId="66B6B9BF" w:rsidR="006923D6" w:rsidRPr="0070658C" w:rsidRDefault="006923D6" w:rsidP="00B432EA">
            <w:pPr>
              <w:autoSpaceDE/>
              <w:autoSpaceDN/>
              <w:adjustRightInd/>
              <w:jc w:val="both"/>
            </w:pPr>
            <w:r w:rsidRPr="0070658C">
              <w:rPr>
                <w:b/>
                <w:bCs/>
              </w:rPr>
              <w:t>Reconciliation to net income:</w:t>
            </w:r>
          </w:p>
        </w:tc>
        <w:tc>
          <w:tcPr>
            <w:tcW w:w="1541" w:type="dxa"/>
            <w:tcBorders>
              <w:top w:val="nil"/>
              <w:left w:val="nil"/>
              <w:right w:val="nil"/>
            </w:tcBorders>
            <w:shd w:val="clear" w:color="auto" w:fill="auto"/>
            <w:noWrap/>
            <w:vAlign w:val="bottom"/>
          </w:tcPr>
          <w:p w14:paraId="25086F6E" w14:textId="77777777" w:rsidR="006923D6" w:rsidRPr="0070658C" w:rsidRDefault="006923D6" w:rsidP="00B432EA">
            <w:pPr>
              <w:autoSpaceDE/>
              <w:autoSpaceDN/>
              <w:adjustRightInd/>
              <w:jc w:val="right"/>
            </w:pPr>
          </w:p>
        </w:tc>
        <w:tc>
          <w:tcPr>
            <w:tcW w:w="384" w:type="dxa"/>
            <w:tcBorders>
              <w:top w:val="nil"/>
              <w:left w:val="nil"/>
              <w:right w:val="nil"/>
            </w:tcBorders>
            <w:shd w:val="clear" w:color="auto" w:fill="auto"/>
            <w:noWrap/>
            <w:vAlign w:val="bottom"/>
          </w:tcPr>
          <w:p w14:paraId="4FA79BD6" w14:textId="77777777" w:rsidR="006923D6" w:rsidRPr="0070658C" w:rsidRDefault="006923D6" w:rsidP="00B432EA">
            <w:pPr>
              <w:autoSpaceDE/>
              <w:autoSpaceDN/>
              <w:adjustRightInd/>
              <w:jc w:val="right"/>
              <w:rPr>
                <w:u w:val="single"/>
              </w:rPr>
            </w:pPr>
          </w:p>
        </w:tc>
        <w:tc>
          <w:tcPr>
            <w:tcW w:w="1286" w:type="dxa"/>
            <w:tcBorders>
              <w:top w:val="nil"/>
              <w:left w:val="nil"/>
              <w:right w:val="nil"/>
            </w:tcBorders>
            <w:shd w:val="clear" w:color="auto" w:fill="auto"/>
            <w:noWrap/>
            <w:vAlign w:val="bottom"/>
          </w:tcPr>
          <w:p w14:paraId="6C124884" w14:textId="77777777" w:rsidR="006923D6" w:rsidRPr="0070658C" w:rsidRDefault="006923D6" w:rsidP="00B432EA">
            <w:pPr>
              <w:autoSpaceDE/>
              <w:autoSpaceDN/>
              <w:adjustRightInd/>
              <w:jc w:val="right"/>
            </w:pPr>
          </w:p>
        </w:tc>
      </w:tr>
      <w:tr w:rsidR="006923D6" w14:paraId="2D0436DA" w14:textId="77777777" w:rsidTr="006923D6">
        <w:trPr>
          <w:trHeight w:val="288"/>
        </w:trPr>
        <w:tc>
          <w:tcPr>
            <w:tcW w:w="4853" w:type="dxa"/>
            <w:tcBorders>
              <w:top w:val="nil"/>
              <w:left w:val="nil"/>
              <w:bottom w:val="nil"/>
              <w:right w:val="nil"/>
            </w:tcBorders>
            <w:shd w:val="clear" w:color="auto" w:fill="auto"/>
            <w:noWrap/>
            <w:vAlign w:val="bottom"/>
          </w:tcPr>
          <w:p w14:paraId="4D799085" w14:textId="28E0295A" w:rsidR="006923D6" w:rsidRPr="0070658C" w:rsidRDefault="006923D6" w:rsidP="00B432EA">
            <w:pPr>
              <w:autoSpaceDE/>
              <w:autoSpaceDN/>
              <w:adjustRightInd/>
              <w:jc w:val="both"/>
            </w:pPr>
            <w:r w:rsidRPr="0070658C">
              <w:t xml:space="preserve">EBITDA </w:t>
            </w:r>
          </w:p>
        </w:tc>
        <w:tc>
          <w:tcPr>
            <w:tcW w:w="1541" w:type="dxa"/>
            <w:tcBorders>
              <w:top w:val="nil"/>
              <w:left w:val="nil"/>
              <w:bottom w:val="nil"/>
              <w:right w:val="nil"/>
            </w:tcBorders>
            <w:shd w:val="clear" w:color="auto" w:fill="auto"/>
            <w:noWrap/>
            <w:vAlign w:val="bottom"/>
          </w:tcPr>
          <w:p w14:paraId="4BAA24E5" w14:textId="38B85F79" w:rsidR="006923D6" w:rsidRPr="0070658C" w:rsidRDefault="006923D6" w:rsidP="00B432EA">
            <w:pPr>
              <w:autoSpaceDE/>
              <w:autoSpaceDN/>
              <w:adjustRightInd/>
              <w:jc w:val="right"/>
            </w:pPr>
            <w:r w:rsidRPr="0070658C">
              <w:t>$</w:t>
            </w:r>
            <w:r w:rsidR="0047704A">
              <w:t>407</w:t>
            </w:r>
          </w:p>
        </w:tc>
        <w:tc>
          <w:tcPr>
            <w:tcW w:w="384" w:type="dxa"/>
            <w:tcBorders>
              <w:top w:val="nil"/>
              <w:left w:val="nil"/>
              <w:bottom w:val="nil"/>
              <w:right w:val="nil"/>
            </w:tcBorders>
            <w:shd w:val="clear" w:color="auto" w:fill="auto"/>
            <w:noWrap/>
            <w:vAlign w:val="bottom"/>
          </w:tcPr>
          <w:p w14:paraId="59563237" w14:textId="77777777" w:rsidR="006923D6" w:rsidRPr="0070658C" w:rsidRDefault="006923D6" w:rsidP="00B432EA">
            <w:pPr>
              <w:autoSpaceDE/>
              <w:autoSpaceDN/>
              <w:adjustRightInd/>
              <w:jc w:val="right"/>
            </w:pPr>
          </w:p>
        </w:tc>
        <w:tc>
          <w:tcPr>
            <w:tcW w:w="1286" w:type="dxa"/>
            <w:tcBorders>
              <w:top w:val="nil"/>
              <w:left w:val="nil"/>
              <w:bottom w:val="nil"/>
              <w:right w:val="nil"/>
            </w:tcBorders>
            <w:shd w:val="clear" w:color="auto" w:fill="auto"/>
            <w:noWrap/>
            <w:vAlign w:val="bottom"/>
          </w:tcPr>
          <w:p w14:paraId="5AD15DB1" w14:textId="4DED877C" w:rsidR="006923D6" w:rsidRPr="0070658C" w:rsidRDefault="00CF7B0C" w:rsidP="00B432EA">
            <w:pPr>
              <w:autoSpaceDE/>
              <w:autoSpaceDN/>
              <w:adjustRightInd/>
              <w:jc w:val="right"/>
            </w:pPr>
            <w:r w:rsidRPr="0070658C">
              <w:t>$</w:t>
            </w:r>
            <w:r w:rsidR="0047704A">
              <w:t>344</w:t>
            </w:r>
          </w:p>
        </w:tc>
      </w:tr>
      <w:tr w:rsidR="00100F56" w14:paraId="51C793B4" w14:textId="77777777" w:rsidTr="006923D6">
        <w:trPr>
          <w:trHeight w:val="288"/>
        </w:trPr>
        <w:tc>
          <w:tcPr>
            <w:tcW w:w="4853" w:type="dxa"/>
            <w:tcBorders>
              <w:top w:val="nil"/>
              <w:left w:val="nil"/>
              <w:bottom w:val="nil"/>
              <w:right w:val="nil"/>
            </w:tcBorders>
            <w:shd w:val="clear" w:color="auto" w:fill="auto"/>
            <w:noWrap/>
            <w:vAlign w:val="bottom"/>
          </w:tcPr>
          <w:p w14:paraId="01BCB826" w14:textId="681A2AB6" w:rsidR="00100F56" w:rsidRPr="0070658C" w:rsidRDefault="00100F56" w:rsidP="00100F56">
            <w:pPr>
              <w:autoSpaceDE/>
              <w:autoSpaceDN/>
              <w:adjustRightInd/>
              <w:jc w:val="both"/>
            </w:pPr>
            <w:r>
              <w:t xml:space="preserve">Corporate office expenses </w:t>
            </w:r>
          </w:p>
        </w:tc>
        <w:tc>
          <w:tcPr>
            <w:tcW w:w="1541" w:type="dxa"/>
            <w:tcBorders>
              <w:top w:val="nil"/>
              <w:left w:val="nil"/>
              <w:bottom w:val="nil"/>
              <w:right w:val="nil"/>
            </w:tcBorders>
            <w:shd w:val="clear" w:color="auto" w:fill="auto"/>
            <w:noWrap/>
            <w:vAlign w:val="bottom"/>
          </w:tcPr>
          <w:p w14:paraId="3FF14825" w14:textId="57079713" w:rsidR="00100F56" w:rsidRDefault="00100F56" w:rsidP="00100F56">
            <w:pPr>
              <w:autoSpaceDE/>
              <w:autoSpaceDN/>
              <w:adjustRightInd/>
              <w:jc w:val="right"/>
            </w:pPr>
            <w:r>
              <w:t>(</w:t>
            </w:r>
            <w:r w:rsidR="0047704A">
              <w:t>531</w:t>
            </w:r>
            <w:r>
              <w:t>)</w:t>
            </w:r>
          </w:p>
        </w:tc>
        <w:tc>
          <w:tcPr>
            <w:tcW w:w="384" w:type="dxa"/>
            <w:tcBorders>
              <w:top w:val="nil"/>
              <w:left w:val="nil"/>
              <w:bottom w:val="nil"/>
              <w:right w:val="nil"/>
            </w:tcBorders>
            <w:shd w:val="clear" w:color="auto" w:fill="auto"/>
            <w:noWrap/>
            <w:vAlign w:val="bottom"/>
          </w:tcPr>
          <w:p w14:paraId="26699214" w14:textId="77777777" w:rsidR="00100F56" w:rsidRPr="0070658C" w:rsidRDefault="00100F56" w:rsidP="00100F56">
            <w:pPr>
              <w:autoSpaceDE/>
              <w:autoSpaceDN/>
              <w:adjustRightInd/>
              <w:jc w:val="right"/>
            </w:pPr>
          </w:p>
        </w:tc>
        <w:tc>
          <w:tcPr>
            <w:tcW w:w="1286" w:type="dxa"/>
            <w:tcBorders>
              <w:top w:val="nil"/>
              <w:left w:val="nil"/>
              <w:bottom w:val="nil"/>
              <w:right w:val="nil"/>
            </w:tcBorders>
            <w:shd w:val="clear" w:color="auto" w:fill="auto"/>
            <w:noWrap/>
            <w:vAlign w:val="bottom"/>
          </w:tcPr>
          <w:p w14:paraId="3B15E38E" w14:textId="1910070E" w:rsidR="00100F56" w:rsidRDefault="00100F56" w:rsidP="00100F56">
            <w:pPr>
              <w:autoSpaceDE/>
              <w:autoSpaceDN/>
              <w:adjustRightInd/>
              <w:jc w:val="right"/>
            </w:pPr>
            <w:r>
              <w:t>(</w:t>
            </w:r>
            <w:r w:rsidR="0047704A">
              <w:t>328</w:t>
            </w:r>
            <w:r>
              <w:t>)</w:t>
            </w:r>
          </w:p>
        </w:tc>
      </w:tr>
      <w:tr w:rsidR="00100F56" w14:paraId="5841EBDE" w14:textId="77777777" w:rsidTr="006923D6">
        <w:trPr>
          <w:trHeight w:val="288"/>
        </w:trPr>
        <w:tc>
          <w:tcPr>
            <w:tcW w:w="4853" w:type="dxa"/>
            <w:tcBorders>
              <w:top w:val="nil"/>
              <w:left w:val="nil"/>
              <w:bottom w:val="nil"/>
              <w:right w:val="nil"/>
            </w:tcBorders>
            <w:shd w:val="clear" w:color="auto" w:fill="auto"/>
            <w:noWrap/>
            <w:vAlign w:val="bottom"/>
          </w:tcPr>
          <w:p w14:paraId="15B3C9E7" w14:textId="4EE56FAB" w:rsidR="00100F56" w:rsidRPr="0070658C" w:rsidRDefault="00100F56" w:rsidP="00100F56">
            <w:pPr>
              <w:autoSpaceDE/>
              <w:autoSpaceDN/>
              <w:adjustRightInd/>
              <w:jc w:val="both"/>
            </w:pPr>
            <w:r>
              <w:t xml:space="preserve">Management fee </w:t>
            </w:r>
          </w:p>
        </w:tc>
        <w:tc>
          <w:tcPr>
            <w:tcW w:w="1541" w:type="dxa"/>
            <w:tcBorders>
              <w:top w:val="nil"/>
              <w:left w:val="nil"/>
              <w:bottom w:val="nil"/>
              <w:right w:val="nil"/>
            </w:tcBorders>
            <w:shd w:val="clear" w:color="auto" w:fill="auto"/>
            <w:noWrap/>
            <w:vAlign w:val="bottom"/>
          </w:tcPr>
          <w:p w14:paraId="2D55538C" w14:textId="0F9E019A" w:rsidR="00100F56" w:rsidRDefault="00100F56" w:rsidP="00100F56">
            <w:pPr>
              <w:autoSpaceDE/>
              <w:autoSpaceDN/>
              <w:adjustRightInd/>
              <w:jc w:val="right"/>
            </w:pPr>
            <w:r>
              <w:t>(</w:t>
            </w:r>
            <w:r w:rsidR="0047704A">
              <w:t>94</w:t>
            </w:r>
            <w:r>
              <w:t>)</w:t>
            </w:r>
          </w:p>
        </w:tc>
        <w:tc>
          <w:tcPr>
            <w:tcW w:w="384" w:type="dxa"/>
            <w:tcBorders>
              <w:top w:val="nil"/>
              <w:left w:val="nil"/>
              <w:bottom w:val="nil"/>
              <w:right w:val="nil"/>
            </w:tcBorders>
            <w:shd w:val="clear" w:color="auto" w:fill="auto"/>
            <w:noWrap/>
            <w:vAlign w:val="bottom"/>
          </w:tcPr>
          <w:p w14:paraId="3D72F747" w14:textId="77777777" w:rsidR="00100F56" w:rsidRPr="0070658C" w:rsidRDefault="00100F56" w:rsidP="00100F56">
            <w:pPr>
              <w:autoSpaceDE/>
              <w:autoSpaceDN/>
              <w:adjustRightInd/>
              <w:jc w:val="right"/>
            </w:pPr>
          </w:p>
        </w:tc>
        <w:tc>
          <w:tcPr>
            <w:tcW w:w="1286" w:type="dxa"/>
            <w:tcBorders>
              <w:top w:val="nil"/>
              <w:left w:val="nil"/>
              <w:bottom w:val="nil"/>
              <w:right w:val="nil"/>
            </w:tcBorders>
            <w:shd w:val="clear" w:color="auto" w:fill="auto"/>
            <w:noWrap/>
            <w:vAlign w:val="bottom"/>
          </w:tcPr>
          <w:p w14:paraId="7E853B53" w14:textId="547D1C4A" w:rsidR="00100F56" w:rsidRDefault="00100F56" w:rsidP="00100F56">
            <w:pPr>
              <w:autoSpaceDE/>
              <w:autoSpaceDN/>
              <w:adjustRightInd/>
              <w:jc w:val="right"/>
            </w:pPr>
            <w:r>
              <w:t>(</w:t>
            </w:r>
            <w:r w:rsidR="0047704A">
              <w:t>94</w:t>
            </w:r>
            <w:r>
              <w:t>)</w:t>
            </w:r>
          </w:p>
        </w:tc>
      </w:tr>
      <w:tr w:rsidR="00100F56" w14:paraId="416D468C" w14:textId="77777777" w:rsidTr="006923D6">
        <w:trPr>
          <w:trHeight w:val="288"/>
        </w:trPr>
        <w:tc>
          <w:tcPr>
            <w:tcW w:w="4853" w:type="dxa"/>
            <w:tcBorders>
              <w:top w:val="nil"/>
              <w:left w:val="nil"/>
              <w:bottom w:val="nil"/>
              <w:right w:val="nil"/>
            </w:tcBorders>
            <w:shd w:val="clear" w:color="auto" w:fill="auto"/>
            <w:noWrap/>
            <w:vAlign w:val="bottom"/>
          </w:tcPr>
          <w:p w14:paraId="2610263A" w14:textId="787D6882" w:rsidR="00100F56" w:rsidRPr="0070658C" w:rsidRDefault="00E37DA8" w:rsidP="00100F56">
            <w:pPr>
              <w:autoSpaceDE/>
              <w:autoSpaceDN/>
              <w:adjustRightInd/>
              <w:jc w:val="both"/>
            </w:pPr>
            <w:r>
              <w:t>I</w:t>
            </w:r>
            <w:r w:rsidR="00100F56" w:rsidRPr="00E37DA8">
              <w:t>n</w:t>
            </w:r>
            <w:r>
              <w:t>terest</w:t>
            </w:r>
            <w:r w:rsidR="00100F56" w:rsidRPr="0070658C">
              <w:t xml:space="preserve"> Income </w:t>
            </w:r>
          </w:p>
        </w:tc>
        <w:tc>
          <w:tcPr>
            <w:tcW w:w="1541" w:type="dxa"/>
            <w:tcBorders>
              <w:top w:val="nil"/>
              <w:left w:val="nil"/>
              <w:bottom w:val="nil"/>
              <w:right w:val="nil"/>
            </w:tcBorders>
            <w:shd w:val="clear" w:color="auto" w:fill="auto"/>
            <w:noWrap/>
            <w:vAlign w:val="bottom"/>
          </w:tcPr>
          <w:p w14:paraId="54973DB6" w14:textId="5D5D03BA" w:rsidR="00100F56" w:rsidRPr="0070658C" w:rsidRDefault="00021925" w:rsidP="00100F56">
            <w:pPr>
              <w:autoSpaceDE/>
              <w:autoSpaceDN/>
              <w:adjustRightInd/>
              <w:jc w:val="right"/>
            </w:pPr>
            <w:r>
              <w:t>6</w:t>
            </w:r>
          </w:p>
        </w:tc>
        <w:tc>
          <w:tcPr>
            <w:tcW w:w="384" w:type="dxa"/>
            <w:tcBorders>
              <w:top w:val="nil"/>
              <w:left w:val="nil"/>
              <w:bottom w:val="nil"/>
              <w:right w:val="nil"/>
            </w:tcBorders>
            <w:shd w:val="clear" w:color="auto" w:fill="auto"/>
            <w:noWrap/>
            <w:vAlign w:val="bottom"/>
          </w:tcPr>
          <w:p w14:paraId="49274343" w14:textId="77777777" w:rsidR="00100F56" w:rsidRPr="0070658C" w:rsidRDefault="00100F56" w:rsidP="00100F56">
            <w:pPr>
              <w:autoSpaceDE/>
              <w:autoSpaceDN/>
              <w:adjustRightInd/>
              <w:jc w:val="right"/>
            </w:pPr>
          </w:p>
        </w:tc>
        <w:tc>
          <w:tcPr>
            <w:tcW w:w="1286" w:type="dxa"/>
            <w:tcBorders>
              <w:top w:val="nil"/>
              <w:left w:val="nil"/>
              <w:bottom w:val="nil"/>
              <w:right w:val="nil"/>
            </w:tcBorders>
            <w:shd w:val="clear" w:color="auto" w:fill="auto"/>
            <w:noWrap/>
            <w:vAlign w:val="bottom"/>
          </w:tcPr>
          <w:p w14:paraId="024C3A82" w14:textId="0EC3BBCA" w:rsidR="00100F56" w:rsidRPr="0070658C" w:rsidRDefault="00100F56" w:rsidP="00100F56">
            <w:pPr>
              <w:autoSpaceDE/>
              <w:autoSpaceDN/>
              <w:adjustRightInd/>
              <w:jc w:val="right"/>
            </w:pPr>
            <w:r>
              <w:t>1</w:t>
            </w:r>
            <w:r w:rsidR="0047704A">
              <w:t>44</w:t>
            </w:r>
          </w:p>
        </w:tc>
      </w:tr>
      <w:tr w:rsidR="00100F56" w14:paraId="29BD5100" w14:textId="77777777" w:rsidTr="006923D6">
        <w:trPr>
          <w:trHeight w:val="288"/>
        </w:trPr>
        <w:tc>
          <w:tcPr>
            <w:tcW w:w="4853" w:type="dxa"/>
            <w:tcBorders>
              <w:top w:val="nil"/>
              <w:left w:val="nil"/>
              <w:bottom w:val="nil"/>
              <w:right w:val="nil"/>
            </w:tcBorders>
            <w:shd w:val="clear" w:color="auto" w:fill="auto"/>
            <w:noWrap/>
            <w:vAlign w:val="bottom"/>
          </w:tcPr>
          <w:p w14:paraId="36A971BA" w14:textId="5820E4AA" w:rsidR="00100F56" w:rsidRPr="0070658C" w:rsidRDefault="00AB3AFA" w:rsidP="00100F56">
            <w:pPr>
              <w:autoSpaceDE/>
              <w:autoSpaceDN/>
              <w:adjustRightInd/>
              <w:jc w:val="both"/>
            </w:pPr>
            <w:r>
              <w:t>Investment Income</w:t>
            </w:r>
          </w:p>
        </w:tc>
        <w:tc>
          <w:tcPr>
            <w:tcW w:w="1541" w:type="dxa"/>
            <w:tcBorders>
              <w:top w:val="nil"/>
              <w:left w:val="nil"/>
              <w:bottom w:val="nil"/>
              <w:right w:val="nil"/>
            </w:tcBorders>
            <w:shd w:val="clear" w:color="auto" w:fill="auto"/>
            <w:noWrap/>
            <w:vAlign w:val="bottom"/>
          </w:tcPr>
          <w:p w14:paraId="1D7CBF85" w14:textId="0D7B5E72" w:rsidR="00100F56" w:rsidRPr="0070658C" w:rsidRDefault="0047704A" w:rsidP="00100F56">
            <w:pPr>
              <w:autoSpaceDE/>
              <w:autoSpaceDN/>
              <w:adjustRightInd/>
              <w:jc w:val="right"/>
            </w:pPr>
            <w:r>
              <w:t>106</w:t>
            </w:r>
          </w:p>
        </w:tc>
        <w:tc>
          <w:tcPr>
            <w:tcW w:w="384" w:type="dxa"/>
            <w:tcBorders>
              <w:top w:val="nil"/>
              <w:left w:val="nil"/>
              <w:bottom w:val="nil"/>
              <w:right w:val="nil"/>
            </w:tcBorders>
            <w:shd w:val="clear" w:color="auto" w:fill="auto"/>
            <w:noWrap/>
            <w:vAlign w:val="bottom"/>
          </w:tcPr>
          <w:p w14:paraId="55CC07B7" w14:textId="77777777" w:rsidR="00100F56" w:rsidRPr="0070658C" w:rsidRDefault="00100F56" w:rsidP="00100F56">
            <w:pPr>
              <w:autoSpaceDE/>
              <w:autoSpaceDN/>
              <w:adjustRightInd/>
              <w:jc w:val="right"/>
            </w:pPr>
          </w:p>
        </w:tc>
        <w:tc>
          <w:tcPr>
            <w:tcW w:w="1286" w:type="dxa"/>
            <w:tcBorders>
              <w:top w:val="nil"/>
              <w:left w:val="nil"/>
              <w:bottom w:val="nil"/>
              <w:right w:val="nil"/>
            </w:tcBorders>
            <w:shd w:val="clear" w:color="auto" w:fill="auto"/>
            <w:noWrap/>
            <w:vAlign w:val="bottom"/>
          </w:tcPr>
          <w:p w14:paraId="0F50CC61" w14:textId="36BFECEE" w:rsidR="00100F56" w:rsidRPr="0070658C" w:rsidRDefault="00100F56" w:rsidP="00100F56">
            <w:pPr>
              <w:autoSpaceDE/>
              <w:autoSpaceDN/>
              <w:adjustRightInd/>
              <w:jc w:val="right"/>
            </w:pPr>
            <w:r>
              <w:t>(</w:t>
            </w:r>
            <w:r w:rsidR="0047704A">
              <w:t>47</w:t>
            </w:r>
            <w:r>
              <w:t>)</w:t>
            </w:r>
          </w:p>
        </w:tc>
      </w:tr>
      <w:tr w:rsidR="00100F56" w:rsidRPr="004B1A43" w14:paraId="2DD40416" w14:textId="77777777" w:rsidTr="006923D6">
        <w:trPr>
          <w:trHeight w:val="288"/>
        </w:trPr>
        <w:tc>
          <w:tcPr>
            <w:tcW w:w="4853" w:type="dxa"/>
            <w:tcBorders>
              <w:top w:val="nil"/>
              <w:left w:val="nil"/>
              <w:bottom w:val="nil"/>
              <w:right w:val="nil"/>
            </w:tcBorders>
            <w:shd w:val="clear" w:color="auto" w:fill="auto"/>
            <w:noWrap/>
            <w:vAlign w:val="bottom"/>
            <w:hideMark/>
          </w:tcPr>
          <w:p w14:paraId="6C7AF2C9" w14:textId="57CB8AB9" w:rsidR="00100F56" w:rsidRPr="0070658C" w:rsidRDefault="00100F56" w:rsidP="00100F56">
            <w:pPr>
              <w:autoSpaceDE/>
              <w:autoSpaceDN/>
              <w:adjustRightInd/>
              <w:jc w:val="both"/>
            </w:pPr>
            <w:r w:rsidRPr="0070658C">
              <w:t>Other income (expense)</w:t>
            </w:r>
          </w:p>
        </w:tc>
        <w:tc>
          <w:tcPr>
            <w:tcW w:w="1541" w:type="dxa"/>
            <w:tcBorders>
              <w:top w:val="nil"/>
              <w:left w:val="nil"/>
              <w:bottom w:val="nil"/>
              <w:right w:val="nil"/>
            </w:tcBorders>
            <w:shd w:val="clear" w:color="auto" w:fill="auto"/>
            <w:noWrap/>
            <w:vAlign w:val="bottom"/>
          </w:tcPr>
          <w:p w14:paraId="43C10088" w14:textId="5D722425" w:rsidR="00100F56" w:rsidRPr="0070658C" w:rsidRDefault="00100F56" w:rsidP="00100F56">
            <w:pPr>
              <w:autoSpaceDE/>
              <w:autoSpaceDN/>
              <w:adjustRightInd/>
              <w:jc w:val="right"/>
            </w:pPr>
            <w:r>
              <w:t>18</w:t>
            </w:r>
          </w:p>
        </w:tc>
        <w:tc>
          <w:tcPr>
            <w:tcW w:w="384" w:type="dxa"/>
            <w:tcBorders>
              <w:top w:val="nil"/>
              <w:left w:val="nil"/>
              <w:bottom w:val="nil"/>
              <w:right w:val="nil"/>
            </w:tcBorders>
            <w:shd w:val="clear" w:color="auto" w:fill="auto"/>
            <w:noWrap/>
            <w:vAlign w:val="bottom"/>
            <w:hideMark/>
          </w:tcPr>
          <w:p w14:paraId="5E3E3074" w14:textId="77777777" w:rsidR="00100F56" w:rsidRPr="0070658C" w:rsidRDefault="00100F56" w:rsidP="00100F56">
            <w:pPr>
              <w:autoSpaceDE/>
              <w:autoSpaceDN/>
              <w:adjustRightInd/>
              <w:jc w:val="right"/>
            </w:pPr>
          </w:p>
        </w:tc>
        <w:tc>
          <w:tcPr>
            <w:tcW w:w="1286" w:type="dxa"/>
            <w:tcBorders>
              <w:top w:val="nil"/>
              <w:left w:val="nil"/>
              <w:bottom w:val="nil"/>
              <w:right w:val="nil"/>
            </w:tcBorders>
            <w:shd w:val="clear" w:color="auto" w:fill="auto"/>
            <w:noWrap/>
            <w:vAlign w:val="bottom"/>
          </w:tcPr>
          <w:p w14:paraId="12D5C42F" w14:textId="158C46AD" w:rsidR="00100F56" w:rsidRPr="0070658C" w:rsidRDefault="0047704A" w:rsidP="00100F56">
            <w:pPr>
              <w:autoSpaceDE/>
              <w:autoSpaceDN/>
              <w:adjustRightInd/>
              <w:jc w:val="right"/>
            </w:pPr>
            <w:r>
              <w:t>(1)</w:t>
            </w:r>
          </w:p>
        </w:tc>
      </w:tr>
      <w:tr w:rsidR="00100F56" w:rsidRPr="004B1A43" w14:paraId="470235A6" w14:textId="77777777" w:rsidTr="006923D6">
        <w:trPr>
          <w:trHeight w:val="288"/>
        </w:trPr>
        <w:tc>
          <w:tcPr>
            <w:tcW w:w="4853" w:type="dxa"/>
            <w:tcBorders>
              <w:top w:val="nil"/>
              <w:left w:val="nil"/>
              <w:bottom w:val="nil"/>
              <w:right w:val="nil"/>
            </w:tcBorders>
            <w:shd w:val="clear" w:color="auto" w:fill="auto"/>
            <w:noWrap/>
            <w:vAlign w:val="bottom"/>
            <w:hideMark/>
          </w:tcPr>
          <w:p w14:paraId="39AD7EA2" w14:textId="13048482" w:rsidR="00100F56" w:rsidRPr="0070658C" w:rsidRDefault="00100F56" w:rsidP="00100F56">
            <w:pPr>
              <w:autoSpaceDE/>
              <w:autoSpaceDN/>
              <w:adjustRightInd/>
              <w:jc w:val="both"/>
            </w:pPr>
            <w:r w:rsidRPr="0070658C">
              <w:t>Depreciation and amortization</w:t>
            </w:r>
          </w:p>
        </w:tc>
        <w:tc>
          <w:tcPr>
            <w:tcW w:w="1541" w:type="dxa"/>
            <w:tcBorders>
              <w:top w:val="nil"/>
              <w:left w:val="nil"/>
              <w:bottom w:val="nil"/>
              <w:right w:val="nil"/>
            </w:tcBorders>
            <w:shd w:val="clear" w:color="auto" w:fill="auto"/>
            <w:noWrap/>
            <w:vAlign w:val="bottom"/>
          </w:tcPr>
          <w:p w14:paraId="4FDFE0FF" w14:textId="35C5AC4A" w:rsidR="00100F56" w:rsidRPr="0070658C" w:rsidRDefault="00100F56" w:rsidP="00100F56">
            <w:pPr>
              <w:autoSpaceDE/>
              <w:autoSpaceDN/>
              <w:adjustRightInd/>
              <w:jc w:val="right"/>
            </w:pPr>
            <w:r w:rsidRPr="0070658C">
              <w:t>(</w:t>
            </w:r>
            <w:r>
              <w:t>1</w:t>
            </w:r>
            <w:r w:rsidR="0047704A">
              <w:t>94</w:t>
            </w:r>
            <w:r w:rsidRPr="0070658C">
              <w:t>)</w:t>
            </w:r>
          </w:p>
        </w:tc>
        <w:tc>
          <w:tcPr>
            <w:tcW w:w="384" w:type="dxa"/>
            <w:tcBorders>
              <w:top w:val="nil"/>
              <w:left w:val="nil"/>
              <w:bottom w:val="nil"/>
              <w:right w:val="nil"/>
            </w:tcBorders>
            <w:shd w:val="clear" w:color="auto" w:fill="auto"/>
            <w:noWrap/>
            <w:vAlign w:val="bottom"/>
            <w:hideMark/>
          </w:tcPr>
          <w:p w14:paraId="5AC76FCD" w14:textId="77777777" w:rsidR="00100F56" w:rsidRPr="0070658C" w:rsidRDefault="00100F56" w:rsidP="00100F56">
            <w:pPr>
              <w:autoSpaceDE/>
              <w:autoSpaceDN/>
              <w:adjustRightInd/>
              <w:jc w:val="right"/>
            </w:pPr>
          </w:p>
        </w:tc>
        <w:tc>
          <w:tcPr>
            <w:tcW w:w="1286" w:type="dxa"/>
            <w:tcBorders>
              <w:top w:val="nil"/>
              <w:left w:val="nil"/>
              <w:bottom w:val="nil"/>
              <w:right w:val="nil"/>
            </w:tcBorders>
            <w:shd w:val="clear" w:color="auto" w:fill="auto"/>
            <w:noWrap/>
            <w:vAlign w:val="bottom"/>
          </w:tcPr>
          <w:p w14:paraId="3018EB28" w14:textId="49B2756A" w:rsidR="00100F56" w:rsidRPr="0070658C" w:rsidRDefault="00100F56" w:rsidP="00100F56">
            <w:pPr>
              <w:autoSpaceDE/>
              <w:autoSpaceDN/>
              <w:adjustRightInd/>
              <w:jc w:val="right"/>
            </w:pPr>
            <w:r>
              <w:t>(1</w:t>
            </w:r>
            <w:r w:rsidR="0047704A">
              <w:t>92</w:t>
            </w:r>
            <w:r>
              <w:t>)</w:t>
            </w:r>
          </w:p>
        </w:tc>
      </w:tr>
      <w:tr w:rsidR="00100F56" w14:paraId="7B77D8F9" w14:textId="77777777" w:rsidTr="00CE5D9B">
        <w:trPr>
          <w:trHeight w:val="288"/>
        </w:trPr>
        <w:tc>
          <w:tcPr>
            <w:tcW w:w="4853" w:type="dxa"/>
            <w:tcBorders>
              <w:top w:val="nil"/>
              <w:left w:val="nil"/>
              <w:bottom w:val="nil"/>
              <w:right w:val="nil"/>
            </w:tcBorders>
            <w:shd w:val="clear" w:color="auto" w:fill="auto"/>
            <w:noWrap/>
            <w:vAlign w:val="bottom"/>
          </w:tcPr>
          <w:p w14:paraId="3AD0EC29" w14:textId="52F35848" w:rsidR="00100F56" w:rsidRPr="0070658C" w:rsidRDefault="00100F56" w:rsidP="00100F56">
            <w:pPr>
              <w:autoSpaceDE/>
              <w:autoSpaceDN/>
              <w:adjustRightInd/>
              <w:jc w:val="both"/>
            </w:pPr>
            <w:r w:rsidRPr="0070658C">
              <w:t>Income tax benefit</w:t>
            </w:r>
          </w:p>
        </w:tc>
        <w:tc>
          <w:tcPr>
            <w:tcW w:w="1541" w:type="dxa"/>
            <w:tcBorders>
              <w:top w:val="nil"/>
              <w:left w:val="nil"/>
              <w:bottom w:val="single" w:sz="4" w:space="0" w:color="auto"/>
              <w:right w:val="nil"/>
            </w:tcBorders>
            <w:shd w:val="clear" w:color="auto" w:fill="auto"/>
            <w:noWrap/>
            <w:vAlign w:val="bottom"/>
          </w:tcPr>
          <w:p w14:paraId="7C00A5FA" w14:textId="634AF7EC" w:rsidR="00100F56" w:rsidRPr="0070658C" w:rsidRDefault="00100F56" w:rsidP="00100F56">
            <w:pPr>
              <w:autoSpaceDE/>
              <w:autoSpaceDN/>
              <w:adjustRightInd/>
              <w:jc w:val="right"/>
            </w:pPr>
            <w:r w:rsidRPr="0070658C">
              <w:t>1</w:t>
            </w:r>
            <w:r w:rsidR="0047704A">
              <w:t>86</w:t>
            </w:r>
          </w:p>
        </w:tc>
        <w:tc>
          <w:tcPr>
            <w:tcW w:w="384" w:type="dxa"/>
            <w:tcBorders>
              <w:top w:val="nil"/>
              <w:left w:val="nil"/>
              <w:bottom w:val="nil"/>
              <w:right w:val="nil"/>
            </w:tcBorders>
            <w:shd w:val="clear" w:color="auto" w:fill="auto"/>
            <w:noWrap/>
            <w:vAlign w:val="bottom"/>
          </w:tcPr>
          <w:p w14:paraId="3FEC53CB" w14:textId="77777777" w:rsidR="00100F56" w:rsidRPr="0070658C" w:rsidRDefault="00100F56" w:rsidP="00100F56">
            <w:pPr>
              <w:autoSpaceDE/>
              <w:autoSpaceDN/>
              <w:adjustRightInd/>
              <w:jc w:val="right"/>
            </w:pPr>
          </w:p>
        </w:tc>
        <w:tc>
          <w:tcPr>
            <w:tcW w:w="1286" w:type="dxa"/>
            <w:tcBorders>
              <w:top w:val="nil"/>
              <w:left w:val="nil"/>
              <w:bottom w:val="single" w:sz="4" w:space="0" w:color="auto"/>
              <w:right w:val="nil"/>
            </w:tcBorders>
            <w:shd w:val="clear" w:color="auto" w:fill="auto"/>
            <w:noWrap/>
            <w:vAlign w:val="bottom"/>
          </w:tcPr>
          <w:p w14:paraId="685762D8" w14:textId="7CAF5A3D" w:rsidR="00100F56" w:rsidRPr="0070658C" w:rsidRDefault="0047704A" w:rsidP="00100F56">
            <w:pPr>
              <w:autoSpaceDE/>
              <w:autoSpaceDN/>
              <w:adjustRightInd/>
              <w:jc w:val="right"/>
            </w:pPr>
            <w:r>
              <w:t>44</w:t>
            </w:r>
          </w:p>
        </w:tc>
      </w:tr>
      <w:tr w:rsidR="00100F56" w:rsidRPr="004B1A43" w14:paraId="59473F04" w14:textId="77777777" w:rsidTr="00CE5D9B">
        <w:trPr>
          <w:trHeight w:val="312"/>
        </w:trPr>
        <w:tc>
          <w:tcPr>
            <w:tcW w:w="4853" w:type="dxa"/>
            <w:tcBorders>
              <w:top w:val="nil"/>
              <w:left w:val="nil"/>
              <w:bottom w:val="nil"/>
              <w:right w:val="nil"/>
            </w:tcBorders>
            <w:shd w:val="clear" w:color="auto" w:fill="auto"/>
            <w:noWrap/>
            <w:vAlign w:val="bottom"/>
            <w:hideMark/>
          </w:tcPr>
          <w:p w14:paraId="3FCBC6DD" w14:textId="6008445B" w:rsidR="00100F56" w:rsidRPr="0070658C" w:rsidRDefault="00100F56" w:rsidP="00100F56">
            <w:pPr>
              <w:autoSpaceDE/>
              <w:autoSpaceDN/>
              <w:adjustRightInd/>
              <w:ind w:left="144"/>
              <w:jc w:val="both"/>
            </w:pPr>
            <w:r w:rsidRPr="0070658C">
              <w:t xml:space="preserve">Net Income </w:t>
            </w:r>
            <w:r>
              <w:t>(loss)</w:t>
            </w:r>
          </w:p>
        </w:tc>
        <w:tc>
          <w:tcPr>
            <w:tcW w:w="1541" w:type="dxa"/>
            <w:tcBorders>
              <w:top w:val="single" w:sz="4" w:space="0" w:color="auto"/>
              <w:left w:val="nil"/>
              <w:bottom w:val="double" w:sz="4" w:space="0" w:color="auto"/>
              <w:right w:val="nil"/>
            </w:tcBorders>
            <w:shd w:val="clear" w:color="auto" w:fill="auto"/>
            <w:noWrap/>
            <w:vAlign w:val="bottom"/>
          </w:tcPr>
          <w:p w14:paraId="0798D040" w14:textId="379780CB" w:rsidR="00100F56" w:rsidRPr="0070658C" w:rsidRDefault="00100F56" w:rsidP="00100F56">
            <w:pPr>
              <w:autoSpaceDE/>
              <w:autoSpaceDN/>
              <w:adjustRightInd/>
              <w:jc w:val="right"/>
            </w:pPr>
            <w:r w:rsidRPr="0070658C">
              <w:t>$</w:t>
            </w:r>
            <w:r w:rsidR="005D1AFB">
              <w:t>(</w:t>
            </w:r>
            <w:r w:rsidR="0047704A">
              <w:t>96</w:t>
            </w:r>
            <w:r w:rsidR="005D1AFB">
              <w:t>)</w:t>
            </w:r>
          </w:p>
        </w:tc>
        <w:tc>
          <w:tcPr>
            <w:tcW w:w="384" w:type="dxa"/>
            <w:tcBorders>
              <w:top w:val="nil"/>
              <w:left w:val="nil"/>
              <w:bottom w:val="nil"/>
              <w:right w:val="nil"/>
            </w:tcBorders>
            <w:shd w:val="clear" w:color="auto" w:fill="auto"/>
            <w:noWrap/>
            <w:vAlign w:val="bottom"/>
            <w:hideMark/>
          </w:tcPr>
          <w:p w14:paraId="0C79D110" w14:textId="77777777" w:rsidR="00100F56" w:rsidRPr="0070658C" w:rsidRDefault="00100F56" w:rsidP="00100F56">
            <w:pPr>
              <w:autoSpaceDE/>
              <w:autoSpaceDN/>
              <w:adjustRightInd/>
              <w:jc w:val="right"/>
            </w:pPr>
          </w:p>
        </w:tc>
        <w:tc>
          <w:tcPr>
            <w:tcW w:w="1286" w:type="dxa"/>
            <w:tcBorders>
              <w:top w:val="single" w:sz="4" w:space="0" w:color="auto"/>
              <w:left w:val="nil"/>
              <w:bottom w:val="double" w:sz="4" w:space="0" w:color="auto"/>
              <w:right w:val="nil"/>
            </w:tcBorders>
            <w:shd w:val="clear" w:color="auto" w:fill="auto"/>
            <w:noWrap/>
            <w:vAlign w:val="bottom"/>
          </w:tcPr>
          <w:p w14:paraId="385613ED" w14:textId="5D60CE4B" w:rsidR="00100F56" w:rsidRPr="0070658C" w:rsidRDefault="00100F56" w:rsidP="00100F56">
            <w:pPr>
              <w:autoSpaceDE/>
              <w:autoSpaceDN/>
              <w:adjustRightInd/>
              <w:jc w:val="right"/>
            </w:pPr>
            <w:r w:rsidRPr="0070658C">
              <w:t>$</w:t>
            </w:r>
            <w:r>
              <w:t>(</w:t>
            </w:r>
            <w:r w:rsidR="0047704A">
              <w:t>130</w:t>
            </w:r>
            <w:r>
              <w:t>)</w:t>
            </w:r>
          </w:p>
        </w:tc>
      </w:tr>
    </w:tbl>
    <w:p w14:paraId="0B543A63" w14:textId="01BB299A" w:rsidR="00B217B4" w:rsidRDefault="00B217B4" w:rsidP="009E6A7E">
      <w:pPr>
        <w:autoSpaceDE/>
        <w:adjustRightInd/>
        <w:jc w:val="both"/>
        <w:rPr>
          <w:color w:val="000000"/>
        </w:rPr>
      </w:pPr>
    </w:p>
    <w:p w14:paraId="4885E53E" w14:textId="00F1305E" w:rsidR="00573F58" w:rsidRDefault="00F027B0" w:rsidP="00174DCB">
      <w:pPr>
        <w:autoSpaceDE/>
        <w:adjustRightInd/>
        <w:jc w:val="both"/>
        <w:rPr>
          <w:color w:val="000000"/>
        </w:rPr>
      </w:pPr>
      <w:r w:rsidRPr="00EF14BD">
        <w:rPr>
          <w:color w:val="000000"/>
        </w:rPr>
        <w:t xml:space="preserve">Corporate expenses </w:t>
      </w:r>
      <w:r w:rsidR="00584BB1" w:rsidRPr="00EF14BD">
        <w:rPr>
          <w:color w:val="000000"/>
        </w:rPr>
        <w:t xml:space="preserve">for the </w:t>
      </w:r>
      <w:r w:rsidR="007E1167" w:rsidRPr="00EF14BD">
        <w:rPr>
          <w:color w:val="000000"/>
        </w:rPr>
        <w:t>nine</w:t>
      </w:r>
      <w:r w:rsidR="00584BB1" w:rsidRPr="00EF14BD">
        <w:rPr>
          <w:color w:val="000000"/>
        </w:rPr>
        <w:t xml:space="preserve"> months ended </w:t>
      </w:r>
      <w:r w:rsidR="007E1167" w:rsidRPr="00EF14BD">
        <w:rPr>
          <w:color w:val="000000"/>
        </w:rPr>
        <w:t>September</w:t>
      </w:r>
      <w:r w:rsidR="00584BB1" w:rsidRPr="00EF14BD">
        <w:rPr>
          <w:color w:val="000000"/>
        </w:rPr>
        <w:t xml:space="preserve"> 30, 2021, increased $</w:t>
      </w:r>
      <w:r w:rsidR="00656FD6">
        <w:rPr>
          <w:color w:val="000000"/>
        </w:rPr>
        <w:t>203</w:t>
      </w:r>
      <w:r w:rsidR="00584BB1" w:rsidRPr="00EF14BD">
        <w:rPr>
          <w:color w:val="000000"/>
        </w:rPr>
        <w:t xml:space="preserve">,000 to </w:t>
      </w:r>
      <w:r w:rsidRPr="00EF14BD">
        <w:rPr>
          <w:color w:val="000000"/>
        </w:rPr>
        <w:t>$</w:t>
      </w:r>
      <w:r w:rsidR="00656FD6">
        <w:rPr>
          <w:color w:val="000000"/>
        </w:rPr>
        <w:t>531</w:t>
      </w:r>
      <w:r w:rsidRPr="00EF14BD">
        <w:rPr>
          <w:color w:val="000000"/>
        </w:rPr>
        <w:t xml:space="preserve">,000 </w:t>
      </w:r>
      <w:r w:rsidR="00656FD6">
        <w:rPr>
          <w:color w:val="000000"/>
        </w:rPr>
        <w:t xml:space="preserve">as compared to </w:t>
      </w:r>
      <w:r w:rsidR="00584BB1" w:rsidRPr="00EF14BD">
        <w:rPr>
          <w:color w:val="000000"/>
        </w:rPr>
        <w:t>$</w:t>
      </w:r>
      <w:r w:rsidR="00656FD6">
        <w:rPr>
          <w:color w:val="000000"/>
        </w:rPr>
        <w:t>32</w:t>
      </w:r>
      <w:r w:rsidR="00584BB1" w:rsidRPr="00EF14BD">
        <w:rPr>
          <w:color w:val="000000"/>
        </w:rPr>
        <w:t>8,000</w:t>
      </w:r>
      <w:r w:rsidR="00174DCB" w:rsidRPr="00EF14BD">
        <w:rPr>
          <w:color w:val="000000"/>
        </w:rPr>
        <w:t xml:space="preserve"> </w:t>
      </w:r>
      <w:r w:rsidR="00656FD6">
        <w:rPr>
          <w:color w:val="000000"/>
        </w:rPr>
        <w:t>in</w:t>
      </w:r>
      <w:r w:rsidR="00174DCB" w:rsidRPr="00EF14BD">
        <w:rPr>
          <w:color w:val="000000"/>
        </w:rPr>
        <w:t xml:space="preserve"> 2020</w:t>
      </w:r>
      <w:r w:rsidR="00B54E88" w:rsidRPr="00EF14BD">
        <w:rPr>
          <w:color w:val="000000"/>
        </w:rPr>
        <w:t xml:space="preserve">. </w:t>
      </w:r>
      <w:r w:rsidR="00174DCB" w:rsidRPr="00EF14BD">
        <w:rPr>
          <w:color w:val="000000"/>
        </w:rPr>
        <w:t xml:space="preserve">The increases were driven by higher </w:t>
      </w:r>
      <w:r w:rsidR="00B54E88">
        <w:rPr>
          <w:color w:val="000000"/>
        </w:rPr>
        <w:t>administrative</w:t>
      </w:r>
      <w:r w:rsidR="00100F56" w:rsidRPr="00EF14BD">
        <w:rPr>
          <w:color w:val="000000"/>
        </w:rPr>
        <w:t xml:space="preserve"> </w:t>
      </w:r>
      <w:r w:rsidR="008B64BD">
        <w:rPr>
          <w:color w:val="000000"/>
        </w:rPr>
        <w:t xml:space="preserve">and </w:t>
      </w:r>
      <w:r w:rsidR="00174DCB" w:rsidRPr="00EF14BD">
        <w:rPr>
          <w:color w:val="000000"/>
        </w:rPr>
        <w:t>insurance</w:t>
      </w:r>
      <w:r w:rsidR="00B23465" w:rsidRPr="00EF14BD">
        <w:rPr>
          <w:color w:val="000000"/>
        </w:rPr>
        <w:t xml:space="preserve"> </w:t>
      </w:r>
      <w:r w:rsidR="00174DCB" w:rsidRPr="00EF14BD">
        <w:rPr>
          <w:color w:val="000000"/>
        </w:rPr>
        <w:t>expenses.</w:t>
      </w:r>
      <w:r w:rsidR="004F6AE9" w:rsidRPr="00EF14BD">
        <w:rPr>
          <w:color w:val="000000"/>
        </w:rPr>
        <w:t xml:space="preserve"> This </w:t>
      </w:r>
      <w:r w:rsidR="004F6AE9" w:rsidRPr="008B64BD">
        <w:rPr>
          <w:color w:val="000000"/>
        </w:rPr>
        <w:t xml:space="preserve">increase includes a $95,000 </w:t>
      </w:r>
      <w:r w:rsidR="00AB3AFA" w:rsidRPr="00A137E9">
        <w:rPr>
          <w:color w:val="000000"/>
        </w:rPr>
        <w:t>out of period adjustment</w:t>
      </w:r>
      <w:r w:rsidR="004F6AE9" w:rsidRPr="008B64BD">
        <w:rPr>
          <w:color w:val="000000"/>
        </w:rPr>
        <w:t xml:space="preserve"> </w:t>
      </w:r>
      <w:r w:rsidR="00DA0A51">
        <w:rPr>
          <w:color w:val="000000"/>
        </w:rPr>
        <w:t>in the second quarter of 2021</w:t>
      </w:r>
      <w:r w:rsidR="0086329E" w:rsidRPr="0086329E">
        <w:rPr>
          <w:color w:val="000000"/>
        </w:rPr>
        <w:t xml:space="preserve"> </w:t>
      </w:r>
      <w:r w:rsidR="0086329E" w:rsidRPr="008B64BD">
        <w:rPr>
          <w:color w:val="000000"/>
        </w:rPr>
        <w:t xml:space="preserve">related to the </w:t>
      </w:r>
      <w:r w:rsidR="0086329E">
        <w:rPr>
          <w:color w:val="000000"/>
        </w:rPr>
        <w:t>prior six months</w:t>
      </w:r>
      <w:r w:rsidR="00DA0A51">
        <w:rPr>
          <w:color w:val="000000"/>
        </w:rPr>
        <w:t xml:space="preserve"> for </w:t>
      </w:r>
      <w:r w:rsidR="004F6AE9" w:rsidRPr="008B64BD">
        <w:rPr>
          <w:color w:val="000000"/>
        </w:rPr>
        <w:t>insurance expense.</w:t>
      </w:r>
    </w:p>
    <w:bookmarkEnd w:id="37"/>
    <w:p w14:paraId="612B6867" w14:textId="77777777" w:rsidR="00573F58" w:rsidRDefault="00573F58" w:rsidP="00174DCB">
      <w:pPr>
        <w:autoSpaceDE/>
        <w:adjustRightInd/>
        <w:jc w:val="both"/>
        <w:rPr>
          <w:color w:val="000000"/>
        </w:rPr>
      </w:pPr>
    </w:p>
    <w:p w14:paraId="595134EC" w14:textId="44A0C52F" w:rsidR="00573F58" w:rsidRPr="00D55E86" w:rsidRDefault="00573F58" w:rsidP="00573F58">
      <w:pPr>
        <w:autoSpaceDE/>
        <w:adjustRightInd/>
        <w:jc w:val="both"/>
        <w:rPr>
          <w:color w:val="000000"/>
        </w:rPr>
      </w:pPr>
      <w:r w:rsidRPr="008B64BD">
        <w:rPr>
          <w:color w:val="000000"/>
        </w:rPr>
        <w:lastRenderedPageBreak/>
        <w:t>Management fee to LICT Corporation for administrative services of $</w:t>
      </w:r>
      <w:r w:rsidR="008B64BD" w:rsidRPr="008B64BD">
        <w:rPr>
          <w:color w:val="000000"/>
        </w:rPr>
        <w:t>94</w:t>
      </w:r>
      <w:r w:rsidRPr="008B64BD">
        <w:rPr>
          <w:color w:val="000000"/>
        </w:rPr>
        <w:t>,000 includes professional fees, insurance, shareholder expenses and other miscellaneous office expenses.</w:t>
      </w:r>
      <w:r w:rsidRPr="00111DC1">
        <w:rPr>
          <w:color w:val="000000"/>
        </w:rPr>
        <w:t xml:space="preserve"> </w:t>
      </w:r>
    </w:p>
    <w:p w14:paraId="5C6F7213" w14:textId="77777777" w:rsidR="00584BB1" w:rsidRPr="00D55E86" w:rsidRDefault="00584BB1" w:rsidP="009E0EDC">
      <w:pPr>
        <w:autoSpaceDE/>
        <w:adjustRightInd/>
        <w:jc w:val="both"/>
        <w:rPr>
          <w:color w:val="000000"/>
        </w:rPr>
      </w:pPr>
    </w:p>
    <w:p w14:paraId="11D74E35" w14:textId="56F174D2" w:rsidR="004246B7" w:rsidRDefault="00FF5B2D" w:rsidP="00BB677D">
      <w:pPr>
        <w:autoSpaceDE/>
        <w:adjustRightInd/>
        <w:jc w:val="both"/>
        <w:rPr>
          <w:color w:val="000000"/>
        </w:rPr>
      </w:pPr>
      <w:r w:rsidRPr="00AA0E7B">
        <w:rPr>
          <w:color w:val="000000"/>
        </w:rPr>
        <w:t>I</w:t>
      </w:r>
      <w:r w:rsidR="0049698C">
        <w:rPr>
          <w:color w:val="000000"/>
        </w:rPr>
        <w:t>nterest</w:t>
      </w:r>
      <w:r w:rsidRPr="00AA0E7B">
        <w:rPr>
          <w:color w:val="000000"/>
        </w:rPr>
        <w:t xml:space="preserve"> income</w:t>
      </w:r>
      <w:r w:rsidR="00E01866" w:rsidRPr="00AA0E7B">
        <w:rPr>
          <w:color w:val="000000"/>
        </w:rPr>
        <w:t xml:space="preserve"> </w:t>
      </w:r>
      <w:r w:rsidRPr="00AA0E7B">
        <w:rPr>
          <w:color w:val="000000"/>
        </w:rPr>
        <w:t>of $</w:t>
      </w:r>
      <w:r w:rsidR="00AA0E7B" w:rsidRPr="00AA0E7B">
        <w:rPr>
          <w:color w:val="000000"/>
        </w:rPr>
        <w:t>6</w:t>
      </w:r>
      <w:r w:rsidR="00CD241F" w:rsidRPr="00AA0E7B">
        <w:rPr>
          <w:color w:val="000000"/>
        </w:rPr>
        <w:t>,</w:t>
      </w:r>
      <w:r w:rsidRPr="00AA0E7B">
        <w:rPr>
          <w:color w:val="000000"/>
        </w:rPr>
        <w:t>000 in 20</w:t>
      </w:r>
      <w:r w:rsidR="004F31E2" w:rsidRPr="00AA0E7B">
        <w:rPr>
          <w:color w:val="000000"/>
        </w:rPr>
        <w:t>2</w:t>
      </w:r>
      <w:r w:rsidR="0086127E" w:rsidRPr="00AA0E7B">
        <w:rPr>
          <w:color w:val="000000"/>
        </w:rPr>
        <w:t>1</w:t>
      </w:r>
      <w:r w:rsidRPr="00AA0E7B">
        <w:rPr>
          <w:color w:val="000000"/>
        </w:rPr>
        <w:t xml:space="preserve"> and $</w:t>
      </w:r>
      <w:r w:rsidR="00CA6771" w:rsidRPr="00AA0E7B">
        <w:rPr>
          <w:color w:val="000000"/>
        </w:rPr>
        <w:t>1</w:t>
      </w:r>
      <w:r w:rsidR="00AA0E7B" w:rsidRPr="00AA0E7B">
        <w:rPr>
          <w:color w:val="000000"/>
        </w:rPr>
        <w:t>44</w:t>
      </w:r>
      <w:r w:rsidRPr="00AA0E7B">
        <w:rPr>
          <w:color w:val="000000"/>
        </w:rPr>
        <w:t>,000 in 20</w:t>
      </w:r>
      <w:r w:rsidR="0086127E" w:rsidRPr="00AA0E7B">
        <w:rPr>
          <w:color w:val="000000"/>
        </w:rPr>
        <w:t>20</w:t>
      </w:r>
      <w:r w:rsidRPr="00AA0E7B">
        <w:rPr>
          <w:color w:val="000000"/>
        </w:rPr>
        <w:t>, primarily consist</w:t>
      </w:r>
      <w:r w:rsidR="005C705D" w:rsidRPr="00AA0E7B">
        <w:rPr>
          <w:color w:val="000000"/>
        </w:rPr>
        <w:t>ed</w:t>
      </w:r>
      <w:r w:rsidRPr="00AA0E7B">
        <w:rPr>
          <w:color w:val="000000"/>
        </w:rPr>
        <w:t xml:space="preserve"> of interest from U</w:t>
      </w:r>
      <w:r w:rsidR="004246B7" w:rsidRPr="00AA0E7B">
        <w:rPr>
          <w:color w:val="000000"/>
        </w:rPr>
        <w:t>.S. Treasury Bills and money market accounts</w:t>
      </w:r>
      <w:r w:rsidR="00AB3AFA" w:rsidRPr="00AA0E7B">
        <w:rPr>
          <w:color w:val="000000"/>
        </w:rPr>
        <w:t xml:space="preserve">. </w:t>
      </w:r>
      <w:r w:rsidR="00BB677D" w:rsidRPr="00AA0E7B">
        <w:rPr>
          <w:color w:val="000000"/>
        </w:rPr>
        <w:t>The decrease in 202</w:t>
      </w:r>
      <w:r w:rsidR="00C674BA" w:rsidRPr="00AA0E7B">
        <w:rPr>
          <w:color w:val="000000"/>
        </w:rPr>
        <w:t>1</w:t>
      </w:r>
      <w:r w:rsidR="00BB677D" w:rsidRPr="00AA0E7B">
        <w:rPr>
          <w:color w:val="000000"/>
        </w:rPr>
        <w:t xml:space="preserve"> is due to a decline</w:t>
      </w:r>
      <w:r w:rsidR="004246B7" w:rsidRPr="00AA0E7B">
        <w:rPr>
          <w:color w:val="000000"/>
        </w:rPr>
        <w:t xml:space="preserve"> </w:t>
      </w:r>
      <w:r w:rsidR="00BB677D" w:rsidRPr="00AA0E7B">
        <w:rPr>
          <w:color w:val="000000"/>
        </w:rPr>
        <w:t xml:space="preserve">in </w:t>
      </w:r>
      <w:r w:rsidR="004246B7" w:rsidRPr="00AA0E7B">
        <w:rPr>
          <w:color w:val="000000"/>
        </w:rPr>
        <w:t>interest rates</w:t>
      </w:r>
      <w:r w:rsidR="000F67D7" w:rsidRPr="00AA0E7B">
        <w:rPr>
          <w:color w:val="000000"/>
        </w:rPr>
        <w:t>.</w:t>
      </w:r>
    </w:p>
    <w:p w14:paraId="5EA9DC55" w14:textId="77777777" w:rsidR="00174DCB" w:rsidRDefault="00174DCB" w:rsidP="00BB677D">
      <w:pPr>
        <w:autoSpaceDE/>
        <w:adjustRightInd/>
        <w:jc w:val="both"/>
        <w:rPr>
          <w:color w:val="000000"/>
        </w:rPr>
      </w:pPr>
    </w:p>
    <w:p w14:paraId="463EB867" w14:textId="4296D5AD" w:rsidR="009E0EDC" w:rsidRDefault="0049698C" w:rsidP="00642DF8">
      <w:pPr>
        <w:autoSpaceDE/>
        <w:adjustRightInd/>
        <w:jc w:val="both"/>
        <w:rPr>
          <w:color w:val="000000"/>
        </w:rPr>
      </w:pPr>
      <w:r>
        <w:rPr>
          <w:color w:val="000000"/>
        </w:rPr>
        <w:t xml:space="preserve">Investment income </w:t>
      </w:r>
      <w:r w:rsidR="009E0EDC" w:rsidRPr="00155872">
        <w:rPr>
          <w:color w:val="000000"/>
        </w:rPr>
        <w:t>represents</w:t>
      </w:r>
      <w:r w:rsidR="00FF5B2D" w:rsidRPr="00155872">
        <w:rPr>
          <w:color w:val="000000"/>
        </w:rPr>
        <w:t xml:space="preserve"> CIBL’s investment in a </w:t>
      </w:r>
      <w:r w:rsidR="000733CB" w:rsidRPr="00155872">
        <w:rPr>
          <w:color w:val="000000"/>
        </w:rPr>
        <w:t>merger</w:t>
      </w:r>
      <w:r w:rsidR="00755818" w:rsidRPr="00155872">
        <w:rPr>
          <w:color w:val="000000"/>
        </w:rPr>
        <w:t xml:space="preserve">/arbitrage </w:t>
      </w:r>
      <w:r w:rsidR="0063201A" w:rsidRPr="00155872">
        <w:rPr>
          <w:color w:val="000000"/>
        </w:rPr>
        <w:t xml:space="preserve">limited partnership </w:t>
      </w:r>
      <w:r w:rsidR="002975DD" w:rsidRPr="00155872">
        <w:rPr>
          <w:color w:val="000000"/>
        </w:rPr>
        <w:t>investment</w:t>
      </w:r>
      <w:r w:rsidR="00FF5B2D" w:rsidRPr="00155872">
        <w:rPr>
          <w:color w:val="000000"/>
        </w:rPr>
        <w:t xml:space="preserve">. CIBL’s share </w:t>
      </w:r>
      <w:r w:rsidR="00642DF8" w:rsidRPr="00155872">
        <w:rPr>
          <w:color w:val="000000"/>
        </w:rPr>
        <w:t xml:space="preserve">was a gain of </w:t>
      </w:r>
      <w:r w:rsidR="00FF5B2D" w:rsidRPr="00155872">
        <w:rPr>
          <w:color w:val="000000"/>
        </w:rPr>
        <w:t>$</w:t>
      </w:r>
      <w:r w:rsidR="00155872" w:rsidRPr="00155872">
        <w:rPr>
          <w:color w:val="000000"/>
        </w:rPr>
        <w:t>106</w:t>
      </w:r>
      <w:r w:rsidR="00D15749" w:rsidRPr="00155872">
        <w:rPr>
          <w:color w:val="000000"/>
        </w:rPr>
        <w:t>,000</w:t>
      </w:r>
      <w:r w:rsidR="00FF5B2D" w:rsidRPr="00155872">
        <w:rPr>
          <w:color w:val="000000"/>
        </w:rPr>
        <w:t xml:space="preserve"> in 20</w:t>
      </w:r>
      <w:r w:rsidR="004F31E2" w:rsidRPr="00155872">
        <w:rPr>
          <w:color w:val="000000"/>
        </w:rPr>
        <w:t>2</w:t>
      </w:r>
      <w:r w:rsidR="0086127E" w:rsidRPr="00155872">
        <w:rPr>
          <w:color w:val="000000"/>
        </w:rPr>
        <w:t>1</w:t>
      </w:r>
      <w:r w:rsidR="00E01866" w:rsidRPr="00155872">
        <w:rPr>
          <w:color w:val="000000"/>
        </w:rPr>
        <w:t xml:space="preserve"> </w:t>
      </w:r>
      <w:r w:rsidR="002568E9">
        <w:rPr>
          <w:color w:val="000000"/>
        </w:rPr>
        <w:t>versus</w:t>
      </w:r>
      <w:r w:rsidR="005240AA" w:rsidRPr="00155872">
        <w:rPr>
          <w:color w:val="000000"/>
        </w:rPr>
        <w:t xml:space="preserve"> </w:t>
      </w:r>
      <w:r w:rsidR="00E01866" w:rsidRPr="00155872">
        <w:rPr>
          <w:color w:val="000000"/>
        </w:rPr>
        <w:t>$</w:t>
      </w:r>
      <w:r w:rsidR="00155872" w:rsidRPr="00155872">
        <w:rPr>
          <w:color w:val="000000"/>
        </w:rPr>
        <w:t>47</w:t>
      </w:r>
      <w:r w:rsidR="005240AA" w:rsidRPr="00155872">
        <w:rPr>
          <w:color w:val="000000"/>
        </w:rPr>
        <w:t xml:space="preserve">,000 </w:t>
      </w:r>
      <w:r w:rsidR="00E01866" w:rsidRPr="00155872">
        <w:rPr>
          <w:color w:val="000000"/>
        </w:rPr>
        <w:t>in 20</w:t>
      </w:r>
      <w:r w:rsidR="0086127E" w:rsidRPr="00155872">
        <w:rPr>
          <w:color w:val="000000"/>
        </w:rPr>
        <w:t>20</w:t>
      </w:r>
      <w:r w:rsidR="00E01866" w:rsidRPr="00155872">
        <w:rPr>
          <w:color w:val="000000"/>
        </w:rPr>
        <w:t>.</w:t>
      </w:r>
    </w:p>
    <w:p w14:paraId="5AE04F79" w14:textId="77777777" w:rsidR="00642DF8" w:rsidRDefault="00642DF8" w:rsidP="00642DF8">
      <w:pPr>
        <w:autoSpaceDE/>
        <w:adjustRightInd/>
        <w:jc w:val="both"/>
        <w:rPr>
          <w:color w:val="000000"/>
        </w:rPr>
      </w:pPr>
    </w:p>
    <w:p w14:paraId="3EFEFD78" w14:textId="4B0D4F80" w:rsidR="008B3039" w:rsidRPr="00D55E86" w:rsidRDefault="008B3039" w:rsidP="008B3039">
      <w:pPr>
        <w:autoSpaceDE/>
        <w:adjustRightInd/>
        <w:jc w:val="both"/>
        <w:rPr>
          <w:color w:val="000000"/>
        </w:rPr>
      </w:pPr>
      <w:r w:rsidRPr="00155872">
        <w:rPr>
          <w:color w:val="000000"/>
        </w:rPr>
        <w:t>The Company’s tax rate for 20</w:t>
      </w:r>
      <w:r w:rsidR="004F31E2" w:rsidRPr="00155872">
        <w:rPr>
          <w:color w:val="000000"/>
        </w:rPr>
        <w:t>2</w:t>
      </w:r>
      <w:r w:rsidR="0086127E" w:rsidRPr="00155872">
        <w:rPr>
          <w:color w:val="000000"/>
        </w:rPr>
        <w:t>1</w:t>
      </w:r>
      <w:r w:rsidRPr="00155872">
        <w:rPr>
          <w:color w:val="000000"/>
        </w:rPr>
        <w:t xml:space="preserve"> and 20</w:t>
      </w:r>
      <w:r w:rsidR="0086127E" w:rsidRPr="00155872">
        <w:rPr>
          <w:color w:val="000000"/>
        </w:rPr>
        <w:t>20</w:t>
      </w:r>
      <w:r w:rsidRPr="00155872">
        <w:rPr>
          <w:color w:val="000000"/>
        </w:rPr>
        <w:t xml:space="preserve"> </w:t>
      </w:r>
      <w:r w:rsidR="0053506B">
        <w:rPr>
          <w:color w:val="000000"/>
        </w:rPr>
        <w:t xml:space="preserve">were 25.8% and 25.3%, respectively, </w:t>
      </w:r>
      <w:r w:rsidR="00CE5D9B" w:rsidRPr="00155872">
        <w:rPr>
          <w:color w:val="000000"/>
        </w:rPr>
        <w:t xml:space="preserve">excluding </w:t>
      </w:r>
      <w:r w:rsidR="00F027B0" w:rsidRPr="00155872">
        <w:rPr>
          <w:color w:val="000000"/>
        </w:rPr>
        <w:t xml:space="preserve">a refund </w:t>
      </w:r>
      <w:r w:rsidR="00CE5D9B" w:rsidRPr="00155872">
        <w:rPr>
          <w:color w:val="000000"/>
        </w:rPr>
        <w:t>in 2021</w:t>
      </w:r>
      <w:r w:rsidR="00E37DA8" w:rsidRPr="00155872">
        <w:rPr>
          <w:color w:val="000000"/>
        </w:rPr>
        <w:t xml:space="preserve">. </w:t>
      </w:r>
      <w:r w:rsidR="00C349CB" w:rsidRPr="00155872">
        <w:rPr>
          <w:color w:val="000000"/>
        </w:rPr>
        <w:t xml:space="preserve">In the </w:t>
      </w:r>
      <w:r w:rsidR="00753CD5">
        <w:rPr>
          <w:color w:val="000000"/>
        </w:rPr>
        <w:t xml:space="preserve">second quarter </w:t>
      </w:r>
      <w:r w:rsidR="00C349CB" w:rsidRPr="00155872">
        <w:rPr>
          <w:color w:val="000000"/>
        </w:rPr>
        <w:t xml:space="preserve">of 2021 we received </w:t>
      </w:r>
      <w:r w:rsidR="00753CD5">
        <w:rPr>
          <w:color w:val="000000"/>
        </w:rPr>
        <w:t xml:space="preserve">a </w:t>
      </w:r>
      <w:r w:rsidR="00C349CB" w:rsidRPr="00155872">
        <w:rPr>
          <w:color w:val="000000"/>
        </w:rPr>
        <w:t xml:space="preserve">refund </w:t>
      </w:r>
      <w:r w:rsidR="00753CD5">
        <w:rPr>
          <w:color w:val="000000"/>
        </w:rPr>
        <w:t xml:space="preserve">of $113,000 </w:t>
      </w:r>
      <w:r w:rsidR="00C349CB" w:rsidRPr="00155872">
        <w:rPr>
          <w:color w:val="000000"/>
        </w:rPr>
        <w:t xml:space="preserve">from the state of New Mexico related to tax withholdings from 2012. This was reported </w:t>
      </w:r>
      <w:r w:rsidR="00CE5D9B" w:rsidRPr="00155872">
        <w:rPr>
          <w:color w:val="000000"/>
        </w:rPr>
        <w:t>as an income tax benefit</w:t>
      </w:r>
      <w:r w:rsidR="00C349CB" w:rsidRPr="00155872">
        <w:rPr>
          <w:color w:val="000000"/>
        </w:rPr>
        <w:t xml:space="preserve"> in the consolidated income statement</w:t>
      </w:r>
      <w:r w:rsidR="00CE5D9B" w:rsidRPr="00155872">
        <w:rPr>
          <w:color w:val="000000"/>
        </w:rPr>
        <w:t xml:space="preserve"> in 20</w:t>
      </w:r>
      <w:r w:rsidR="00C06A9B" w:rsidRPr="00155872">
        <w:rPr>
          <w:color w:val="000000"/>
        </w:rPr>
        <w:t>2</w:t>
      </w:r>
      <w:r w:rsidR="00CE5D9B" w:rsidRPr="00155872">
        <w:rPr>
          <w:color w:val="000000"/>
        </w:rPr>
        <w:t>1</w:t>
      </w:r>
      <w:r w:rsidR="002568E9" w:rsidRPr="00155872">
        <w:rPr>
          <w:color w:val="000000"/>
        </w:rPr>
        <w:t xml:space="preserve">. </w:t>
      </w:r>
      <w:r w:rsidR="00C349CB" w:rsidRPr="00155872">
        <w:rPr>
          <w:color w:val="000000"/>
        </w:rPr>
        <w:t xml:space="preserve">In addition, we recorded $19,000 of interest </w:t>
      </w:r>
      <w:r w:rsidR="008D3F77" w:rsidRPr="00155872">
        <w:rPr>
          <w:color w:val="000000"/>
        </w:rPr>
        <w:t>i</w:t>
      </w:r>
      <w:r w:rsidR="00C349CB" w:rsidRPr="00155872">
        <w:rPr>
          <w:color w:val="000000"/>
        </w:rPr>
        <w:t>ncome related to the state refund in the other income (expense) category.</w:t>
      </w:r>
    </w:p>
    <w:p w14:paraId="01150F36" w14:textId="77777777" w:rsidR="008B3039" w:rsidRDefault="008B3039" w:rsidP="009E0EDC">
      <w:pPr>
        <w:autoSpaceDE/>
        <w:adjustRightInd/>
        <w:jc w:val="both"/>
        <w:outlineLvl w:val="0"/>
        <w:rPr>
          <w:color w:val="000000"/>
        </w:rPr>
      </w:pPr>
    </w:p>
    <w:p w14:paraId="66B4FF2D" w14:textId="7E52FFF3" w:rsidR="00457199" w:rsidRDefault="009E0EDC" w:rsidP="009E0EDC">
      <w:pPr>
        <w:autoSpaceDE/>
        <w:adjustRightInd/>
        <w:jc w:val="both"/>
        <w:outlineLvl w:val="0"/>
        <w:rPr>
          <w:color w:val="000000"/>
        </w:rPr>
      </w:pPr>
      <w:r w:rsidRPr="00FE0E5E">
        <w:rPr>
          <w:color w:val="000000"/>
        </w:rPr>
        <w:t>As a net result, CIBL</w:t>
      </w:r>
      <w:r w:rsidR="00514BC3" w:rsidRPr="00FE0E5E">
        <w:rPr>
          <w:color w:val="000000"/>
        </w:rPr>
        <w:t>’s</w:t>
      </w:r>
      <w:r w:rsidRPr="00FE0E5E">
        <w:rPr>
          <w:color w:val="000000"/>
        </w:rPr>
        <w:t xml:space="preserve"> </w:t>
      </w:r>
      <w:r w:rsidR="00457199" w:rsidRPr="00FE0E5E">
        <w:rPr>
          <w:color w:val="000000"/>
        </w:rPr>
        <w:t xml:space="preserve">operations had </w:t>
      </w:r>
      <w:r w:rsidRPr="00FE0E5E">
        <w:rPr>
          <w:color w:val="000000"/>
        </w:rPr>
        <w:t>net</w:t>
      </w:r>
      <w:r w:rsidR="00642DF8" w:rsidRPr="00FE0E5E">
        <w:rPr>
          <w:color w:val="000000"/>
        </w:rPr>
        <w:t xml:space="preserve"> </w:t>
      </w:r>
      <w:r w:rsidR="005D1AFB">
        <w:rPr>
          <w:color w:val="000000"/>
        </w:rPr>
        <w:t xml:space="preserve">loss </w:t>
      </w:r>
      <w:r w:rsidR="00457199" w:rsidRPr="00FE0E5E">
        <w:rPr>
          <w:color w:val="000000"/>
        </w:rPr>
        <w:t>of $</w:t>
      </w:r>
      <w:r w:rsidR="00C605A4">
        <w:rPr>
          <w:color w:val="000000"/>
        </w:rPr>
        <w:t>96</w:t>
      </w:r>
      <w:r w:rsidR="005D1AFB">
        <w:rPr>
          <w:color w:val="000000"/>
        </w:rPr>
        <w:t>,000</w:t>
      </w:r>
      <w:r w:rsidR="00457199" w:rsidRPr="00FE0E5E">
        <w:rPr>
          <w:color w:val="000000"/>
        </w:rPr>
        <w:t xml:space="preserve"> or $</w:t>
      </w:r>
      <w:r w:rsidR="005D1AFB">
        <w:rPr>
          <w:color w:val="000000"/>
        </w:rPr>
        <w:t>(</w:t>
      </w:r>
      <w:r w:rsidR="00C605A4">
        <w:rPr>
          <w:color w:val="000000"/>
        </w:rPr>
        <w:t>6</w:t>
      </w:r>
      <w:r w:rsidR="005D1AFB">
        <w:rPr>
          <w:color w:val="000000"/>
        </w:rPr>
        <w:t>.</w:t>
      </w:r>
      <w:r w:rsidR="00C605A4">
        <w:rPr>
          <w:color w:val="000000"/>
        </w:rPr>
        <w:t>13</w:t>
      </w:r>
      <w:r w:rsidR="005D1AFB">
        <w:rPr>
          <w:color w:val="000000"/>
        </w:rPr>
        <w:t xml:space="preserve">) </w:t>
      </w:r>
      <w:r w:rsidR="00457199" w:rsidRPr="00FE0E5E">
        <w:rPr>
          <w:color w:val="000000"/>
        </w:rPr>
        <w:t xml:space="preserve">per share in </w:t>
      </w:r>
      <w:r w:rsidR="00DC69D1" w:rsidRPr="00FE0E5E">
        <w:rPr>
          <w:color w:val="000000"/>
        </w:rPr>
        <w:t>202</w:t>
      </w:r>
      <w:r w:rsidR="0086127E" w:rsidRPr="00FE0E5E">
        <w:rPr>
          <w:color w:val="000000"/>
        </w:rPr>
        <w:t>1</w:t>
      </w:r>
      <w:r w:rsidR="00457199" w:rsidRPr="00FE0E5E">
        <w:rPr>
          <w:color w:val="000000"/>
        </w:rPr>
        <w:t xml:space="preserve"> </w:t>
      </w:r>
      <w:r w:rsidR="00457199" w:rsidRPr="009949FA">
        <w:rPr>
          <w:color w:val="000000"/>
        </w:rPr>
        <w:t>as compared to a net loss of $</w:t>
      </w:r>
      <w:r w:rsidR="00C605A4">
        <w:rPr>
          <w:color w:val="000000"/>
        </w:rPr>
        <w:t>130</w:t>
      </w:r>
      <w:r w:rsidR="00457199" w:rsidRPr="009949FA">
        <w:rPr>
          <w:color w:val="000000"/>
        </w:rPr>
        <w:t>,000, or $(</w:t>
      </w:r>
      <w:r w:rsidR="00C605A4">
        <w:rPr>
          <w:color w:val="000000"/>
        </w:rPr>
        <w:t>7</w:t>
      </w:r>
      <w:r w:rsidR="00457199" w:rsidRPr="009949FA">
        <w:rPr>
          <w:color w:val="000000"/>
        </w:rPr>
        <w:t>.</w:t>
      </w:r>
      <w:r w:rsidR="00C605A4">
        <w:rPr>
          <w:color w:val="000000"/>
        </w:rPr>
        <w:t>73</w:t>
      </w:r>
      <w:r w:rsidR="00457199" w:rsidRPr="009949FA">
        <w:rPr>
          <w:color w:val="000000"/>
        </w:rPr>
        <w:t>) per share, respectively</w:t>
      </w:r>
      <w:r w:rsidR="001319F4" w:rsidRPr="009949FA">
        <w:rPr>
          <w:color w:val="000000"/>
        </w:rPr>
        <w:t>.</w:t>
      </w:r>
      <w:r w:rsidR="001319F4">
        <w:rPr>
          <w:color w:val="000000"/>
        </w:rPr>
        <w:t xml:space="preserve"> </w:t>
      </w:r>
    </w:p>
    <w:p w14:paraId="7F15BDC5" w14:textId="77777777" w:rsidR="00DF1D6C" w:rsidRDefault="00DF1D6C" w:rsidP="009E0EDC">
      <w:pPr>
        <w:autoSpaceDE/>
        <w:adjustRightInd/>
        <w:jc w:val="both"/>
        <w:outlineLvl w:val="0"/>
        <w:rPr>
          <w:b/>
          <w:bCs/>
          <w:color w:val="000000"/>
        </w:rPr>
      </w:pPr>
    </w:p>
    <w:p w14:paraId="0EA1961E" w14:textId="2065DE81" w:rsidR="009E0EDC" w:rsidRPr="00D55E86" w:rsidRDefault="009E0EDC" w:rsidP="009E0EDC">
      <w:pPr>
        <w:autoSpaceDE/>
        <w:adjustRightInd/>
        <w:jc w:val="both"/>
        <w:outlineLvl w:val="0"/>
        <w:rPr>
          <w:b/>
          <w:bCs/>
          <w:color w:val="000000"/>
        </w:rPr>
      </w:pPr>
      <w:r w:rsidRPr="00D55E86">
        <w:rPr>
          <w:b/>
          <w:bCs/>
          <w:color w:val="000000"/>
        </w:rPr>
        <w:t>LIQUIDITY AND CAPITAL RESOURCES</w:t>
      </w:r>
    </w:p>
    <w:p w14:paraId="6808B338" w14:textId="77777777" w:rsidR="009E0EDC" w:rsidRPr="00D55E86" w:rsidRDefault="009E0EDC" w:rsidP="009E0EDC">
      <w:pPr>
        <w:autoSpaceDE/>
        <w:adjustRightInd/>
        <w:jc w:val="both"/>
        <w:outlineLvl w:val="0"/>
        <w:rPr>
          <w:b/>
          <w:bCs/>
          <w:color w:val="000000"/>
        </w:rPr>
      </w:pPr>
    </w:p>
    <w:p w14:paraId="30D05FA2" w14:textId="77777777" w:rsidR="009E0EDC" w:rsidRPr="00D55E86" w:rsidRDefault="009E0EDC" w:rsidP="009E0EDC">
      <w:pPr>
        <w:autoSpaceDE/>
        <w:adjustRightInd/>
        <w:jc w:val="both"/>
        <w:rPr>
          <w:b/>
          <w:color w:val="000000"/>
        </w:rPr>
      </w:pPr>
      <w:r w:rsidRPr="00D55E86">
        <w:rPr>
          <w:b/>
          <w:color w:val="000000"/>
        </w:rPr>
        <w:t>Working Capital</w:t>
      </w:r>
    </w:p>
    <w:p w14:paraId="44F1A018" w14:textId="77777777" w:rsidR="009E0EDC" w:rsidRPr="00D55E86" w:rsidRDefault="009E0EDC" w:rsidP="009E0EDC">
      <w:pPr>
        <w:autoSpaceDE/>
        <w:adjustRightInd/>
        <w:jc w:val="both"/>
        <w:rPr>
          <w:color w:val="000000"/>
        </w:rPr>
      </w:pPr>
    </w:p>
    <w:p w14:paraId="0497952F" w14:textId="0CFE6BFF" w:rsidR="009E0EDC" w:rsidRPr="00D55E86" w:rsidRDefault="009E0EDC" w:rsidP="009E0EDC">
      <w:pPr>
        <w:autoSpaceDE/>
        <w:adjustRightInd/>
        <w:jc w:val="both"/>
        <w:rPr>
          <w:color w:val="000000"/>
        </w:rPr>
      </w:pPr>
      <w:r w:rsidRPr="00950268">
        <w:rPr>
          <w:color w:val="000000"/>
        </w:rPr>
        <w:t xml:space="preserve">As of </w:t>
      </w:r>
      <w:r w:rsidR="00E831D2">
        <w:rPr>
          <w:color w:val="000000"/>
        </w:rPr>
        <w:t>September</w:t>
      </w:r>
      <w:r w:rsidR="00DF0A4D" w:rsidRPr="00950268">
        <w:rPr>
          <w:color w:val="000000"/>
        </w:rPr>
        <w:t xml:space="preserve"> 3</w:t>
      </w:r>
      <w:r w:rsidR="005C705D">
        <w:rPr>
          <w:color w:val="000000"/>
        </w:rPr>
        <w:t>0</w:t>
      </w:r>
      <w:r w:rsidRPr="00950268">
        <w:rPr>
          <w:color w:val="000000"/>
        </w:rPr>
        <w:t>, 20</w:t>
      </w:r>
      <w:r w:rsidR="00D406BD" w:rsidRPr="00950268">
        <w:rPr>
          <w:color w:val="000000"/>
        </w:rPr>
        <w:t>2</w:t>
      </w:r>
      <w:r w:rsidR="00427D9E" w:rsidRPr="00950268">
        <w:rPr>
          <w:color w:val="000000"/>
        </w:rPr>
        <w:t>1</w:t>
      </w:r>
      <w:r w:rsidRPr="00950268">
        <w:rPr>
          <w:color w:val="000000"/>
        </w:rPr>
        <w:t xml:space="preserve">, CIBL </w:t>
      </w:r>
      <w:r w:rsidRPr="00996F1B">
        <w:rPr>
          <w:color w:val="000000"/>
        </w:rPr>
        <w:t>had $</w:t>
      </w:r>
      <w:r w:rsidR="00950268" w:rsidRPr="00996F1B">
        <w:rPr>
          <w:color w:val="000000"/>
        </w:rPr>
        <w:t>2</w:t>
      </w:r>
      <w:r w:rsidR="00996F1B" w:rsidRPr="00996F1B">
        <w:rPr>
          <w:color w:val="000000"/>
        </w:rPr>
        <w:t>6</w:t>
      </w:r>
      <w:r w:rsidRPr="00996F1B">
        <w:rPr>
          <w:color w:val="000000"/>
        </w:rPr>
        <w:t>,</w:t>
      </w:r>
      <w:r w:rsidR="00021925">
        <w:rPr>
          <w:color w:val="000000"/>
        </w:rPr>
        <w:t>182</w:t>
      </w:r>
      <w:r w:rsidRPr="00996F1B">
        <w:rPr>
          <w:color w:val="000000"/>
        </w:rPr>
        <w:t>,000</w:t>
      </w:r>
      <w:r w:rsidRPr="00950268">
        <w:rPr>
          <w:color w:val="000000"/>
        </w:rPr>
        <w:t xml:space="preserve"> in cash, cash equivalents,</w:t>
      </w:r>
      <w:r w:rsidR="000146BA">
        <w:rPr>
          <w:color w:val="000000"/>
        </w:rPr>
        <w:t xml:space="preserve"> and</w:t>
      </w:r>
      <w:r w:rsidRPr="00950268">
        <w:rPr>
          <w:color w:val="000000"/>
        </w:rPr>
        <w:t xml:space="preserve"> </w:t>
      </w:r>
      <w:r w:rsidR="00D06B1F" w:rsidRPr="00950268">
        <w:rPr>
          <w:color w:val="000000"/>
        </w:rPr>
        <w:t xml:space="preserve">United States Treasury Securities </w:t>
      </w:r>
      <w:r w:rsidR="00950268" w:rsidRPr="00950268">
        <w:rPr>
          <w:color w:val="000000"/>
        </w:rPr>
        <w:t xml:space="preserve">as compared </w:t>
      </w:r>
      <w:r w:rsidR="00454B2E" w:rsidRPr="00950268">
        <w:rPr>
          <w:color w:val="000000"/>
        </w:rPr>
        <w:t>to $</w:t>
      </w:r>
      <w:r w:rsidR="00950268" w:rsidRPr="00950268">
        <w:rPr>
          <w:color w:val="000000"/>
        </w:rPr>
        <w:t>27,711</w:t>
      </w:r>
      <w:r w:rsidR="00CC75D2" w:rsidRPr="00950268">
        <w:rPr>
          <w:color w:val="000000"/>
        </w:rPr>
        <w:t xml:space="preserve">,000 </w:t>
      </w:r>
      <w:r w:rsidR="00950268" w:rsidRPr="00950268">
        <w:rPr>
          <w:color w:val="000000"/>
        </w:rPr>
        <w:t>as of</w:t>
      </w:r>
      <w:r w:rsidR="00454B2E" w:rsidRPr="00950268">
        <w:rPr>
          <w:color w:val="000000"/>
        </w:rPr>
        <w:t xml:space="preserve"> </w:t>
      </w:r>
      <w:r w:rsidR="00950268" w:rsidRPr="00950268">
        <w:rPr>
          <w:color w:val="000000"/>
        </w:rPr>
        <w:t xml:space="preserve">December </w:t>
      </w:r>
      <w:r w:rsidR="00454B2E" w:rsidRPr="00950268">
        <w:rPr>
          <w:color w:val="000000"/>
        </w:rPr>
        <w:t>31, 20</w:t>
      </w:r>
      <w:r w:rsidR="00427D9E" w:rsidRPr="00950268">
        <w:rPr>
          <w:color w:val="000000"/>
        </w:rPr>
        <w:t>20</w:t>
      </w:r>
      <w:r w:rsidR="002568E9" w:rsidRPr="00950268">
        <w:rPr>
          <w:color w:val="000000"/>
        </w:rPr>
        <w:t xml:space="preserve">. </w:t>
      </w:r>
    </w:p>
    <w:p w14:paraId="4642E518" w14:textId="77777777" w:rsidR="009E0EDC" w:rsidRPr="00D55E86" w:rsidRDefault="009E0EDC" w:rsidP="009E0EDC">
      <w:pPr>
        <w:autoSpaceDE/>
        <w:adjustRightInd/>
        <w:jc w:val="both"/>
        <w:rPr>
          <w:color w:val="000000"/>
        </w:rPr>
      </w:pPr>
    </w:p>
    <w:p w14:paraId="7DAA3916" w14:textId="1635E9A4" w:rsidR="009E0EDC" w:rsidRPr="00D55E86" w:rsidRDefault="009E0EDC" w:rsidP="009E0EDC">
      <w:pPr>
        <w:autoSpaceDE/>
        <w:adjustRightInd/>
        <w:jc w:val="both"/>
        <w:rPr>
          <w:b/>
        </w:rPr>
      </w:pPr>
      <w:bookmarkStart w:id="38" w:name="_Hlk45540000"/>
      <w:r w:rsidRPr="00D55E86">
        <w:rPr>
          <w:b/>
        </w:rPr>
        <w:t>Share Repurchases and Distributions</w:t>
      </w:r>
    </w:p>
    <w:p w14:paraId="065CF2D0" w14:textId="77777777" w:rsidR="009E0EDC" w:rsidRPr="00D55E86" w:rsidRDefault="009E0EDC" w:rsidP="009E0EDC">
      <w:pPr>
        <w:autoSpaceDE/>
        <w:adjustRightInd/>
        <w:jc w:val="both"/>
        <w:rPr>
          <w:color w:val="000000"/>
        </w:rPr>
      </w:pPr>
    </w:p>
    <w:p w14:paraId="36DBC5BE" w14:textId="47D85E6C" w:rsidR="00397C1F" w:rsidRPr="00C45ADC" w:rsidRDefault="009E0EDC" w:rsidP="009E0EDC">
      <w:pPr>
        <w:jc w:val="both"/>
        <w:rPr>
          <w:color w:val="000000"/>
        </w:rPr>
      </w:pPr>
      <w:r w:rsidRPr="00C45ADC">
        <w:rPr>
          <w:color w:val="000000"/>
        </w:rPr>
        <w:t xml:space="preserve">CIBL’s Board of Directors has authorized a </w:t>
      </w:r>
      <w:r w:rsidR="00CF210A" w:rsidRPr="00C45ADC">
        <w:rPr>
          <w:color w:val="000000"/>
        </w:rPr>
        <w:t>stock re</w:t>
      </w:r>
      <w:r w:rsidRPr="00C45ADC">
        <w:rPr>
          <w:color w:val="000000"/>
        </w:rPr>
        <w:t>purchase program</w:t>
      </w:r>
      <w:r w:rsidR="00F22E82" w:rsidRPr="00C45ADC">
        <w:rPr>
          <w:color w:val="000000"/>
        </w:rPr>
        <w:t>. S</w:t>
      </w:r>
      <w:r w:rsidRPr="00C45ADC">
        <w:rPr>
          <w:color w:val="000000"/>
        </w:rPr>
        <w:t xml:space="preserve">ince its spin-off from </w:t>
      </w:r>
    </w:p>
    <w:p w14:paraId="283DDBFF" w14:textId="0FDF6A55" w:rsidR="009E0EDC" w:rsidRPr="00D55E86" w:rsidRDefault="009E0EDC" w:rsidP="009E0EDC">
      <w:pPr>
        <w:jc w:val="both"/>
        <w:rPr>
          <w:color w:val="000000"/>
        </w:rPr>
      </w:pPr>
      <w:r w:rsidRPr="00C45ADC">
        <w:rPr>
          <w:color w:val="000000"/>
        </w:rPr>
        <w:t>LICT Corporation</w:t>
      </w:r>
      <w:r w:rsidR="000C6B56" w:rsidRPr="00C45ADC">
        <w:rPr>
          <w:color w:val="000000"/>
        </w:rPr>
        <w:t xml:space="preserve"> (“LICT”)</w:t>
      </w:r>
      <w:r w:rsidR="001D7126" w:rsidRPr="00C45ADC">
        <w:rPr>
          <w:color w:val="000000"/>
        </w:rPr>
        <w:t xml:space="preserve"> on November 19, 2007</w:t>
      </w:r>
      <w:r w:rsidR="00F22E82" w:rsidRPr="00C45ADC">
        <w:rPr>
          <w:color w:val="000000"/>
        </w:rPr>
        <w:t>,</w:t>
      </w:r>
      <w:r w:rsidRPr="00C45ADC">
        <w:rPr>
          <w:color w:val="000000"/>
        </w:rPr>
        <w:t xml:space="preserve"> the Board has the authorized the repurchase of a cumulative </w:t>
      </w:r>
      <w:r w:rsidR="00C45ADC" w:rsidRPr="00C45ADC">
        <w:rPr>
          <w:color w:val="000000"/>
        </w:rPr>
        <w:t>7</w:t>
      </w:r>
      <w:r w:rsidRPr="00C45ADC">
        <w:rPr>
          <w:color w:val="000000"/>
        </w:rPr>
        <w:t>,</w:t>
      </w:r>
      <w:r w:rsidR="000146BA">
        <w:rPr>
          <w:color w:val="000000"/>
        </w:rPr>
        <w:t>824</w:t>
      </w:r>
      <w:r w:rsidR="00CE43D0">
        <w:rPr>
          <w:color w:val="000000"/>
        </w:rPr>
        <w:t xml:space="preserve"> </w:t>
      </w:r>
      <w:r w:rsidRPr="00C45ADC">
        <w:rPr>
          <w:color w:val="000000"/>
        </w:rPr>
        <w:t xml:space="preserve">shares of its common stock, of which </w:t>
      </w:r>
      <w:r w:rsidR="00C45ADC" w:rsidRPr="00C45ADC">
        <w:rPr>
          <w:color w:val="000000"/>
        </w:rPr>
        <w:t>1,</w:t>
      </w:r>
      <w:r w:rsidR="000146BA">
        <w:rPr>
          <w:color w:val="000000"/>
        </w:rPr>
        <w:t>223</w:t>
      </w:r>
      <w:r w:rsidR="00AF0CB0">
        <w:rPr>
          <w:color w:val="000000"/>
        </w:rPr>
        <w:t xml:space="preserve"> </w:t>
      </w:r>
      <w:r w:rsidRPr="00C45ADC">
        <w:rPr>
          <w:color w:val="000000"/>
        </w:rPr>
        <w:t xml:space="preserve">shares </w:t>
      </w:r>
      <w:r w:rsidR="00B848A5" w:rsidRPr="00C45ADC">
        <w:rPr>
          <w:color w:val="000000"/>
        </w:rPr>
        <w:t xml:space="preserve">are remaining to be </w:t>
      </w:r>
      <w:r w:rsidRPr="00C45ADC">
        <w:rPr>
          <w:color w:val="000000"/>
        </w:rPr>
        <w:t>purchased</w:t>
      </w:r>
      <w:proofErr w:type="gramStart"/>
      <w:r w:rsidRPr="00C45ADC">
        <w:rPr>
          <w:color w:val="000000"/>
        </w:rPr>
        <w:t>.</w:t>
      </w:r>
      <w:r w:rsidR="00B432EA" w:rsidRPr="00C45ADC">
        <w:rPr>
          <w:color w:val="000000"/>
        </w:rPr>
        <w:t xml:space="preserve">  </w:t>
      </w:r>
      <w:proofErr w:type="gramEnd"/>
      <w:r w:rsidR="001D7126" w:rsidRPr="00C45ADC">
        <w:rPr>
          <w:color w:val="000000"/>
        </w:rPr>
        <w:t>I</w:t>
      </w:r>
      <w:r w:rsidR="001D7126" w:rsidRPr="00E70A51">
        <w:rPr>
          <w:color w:val="000000"/>
        </w:rPr>
        <w:t xml:space="preserve">n </w:t>
      </w:r>
      <w:r w:rsidR="00F027B0" w:rsidRPr="00E70A51">
        <w:rPr>
          <w:color w:val="000000"/>
        </w:rPr>
        <w:t xml:space="preserve">the </w:t>
      </w:r>
      <w:r w:rsidR="00456489" w:rsidRPr="00E70A51">
        <w:rPr>
          <w:color w:val="000000"/>
        </w:rPr>
        <w:t xml:space="preserve">first </w:t>
      </w:r>
      <w:r w:rsidR="00E831D2" w:rsidRPr="00E70A51">
        <w:rPr>
          <w:color w:val="000000"/>
        </w:rPr>
        <w:t>nine</w:t>
      </w:r>
      <w:r w:rsidR="00456489" w:rsidRPr="00E70A51">
        <w:rPr>
          <w:color w:val="000000"/>
        </w:rPr>
        <w:t xml:space="preserve"> months </w:t>
      </w:r>
      <w:r w:rsidR="00F027B0" w:rsidRPr="00E70A51">
        <w:rPr>
          <w:color w:val="000000"/>
        </w:rPr>
        <w:t xml:space="preserve">of </w:t>
      </w:r>
      <w:r w:rsidR="001D7126" w:rsidRPr="00E70A51">
        <w:rPr>
          <w:color w:val="000000"/>
        </w:rPr>
        <w:t>20</w:t>
      </w:r>
      <w:r w:rsidR="00180BA0" w:rsidRPr="00E70A51">
        <w:rPr>
          <w:color w:val="000000"/>
        </w:rPr>
        <w:t>2</w:t>
      </w:r>
      <w:r w:rsidR="00427D9E" w:rsidRPr="00E70A51">
        <w:rPr>
          <w:color w:val="000000"/>
        </w:rPr>
        <w:t>1</w:t>
      </w:r>
      <w:r w:rsidR="001D7126" w:rsidRPr="00E70A51">
        <w:rPr>
          <w:color w:val="000000"/>
        </w:rPr>
        <w:t>,</w:t>
      </w:r>
      <w:r w:rsidR="00456489" w:rsidRPr="00E70A51">
        <w:rPr>
          <w:color w:val="000000"/>
        </w:rPr>
        <w:t xml:space="preserve"> </w:t>
      </w:r>
      <w:r w:rsidR="00E70A51" w:rsidRPr="00E70A51">
        <w:rPr>
          <w:color w:val="000000"/>
        </w:rPr>
        <w:t xml:space="preserve">1,035 </w:t>
      </w:r>
      <w:r w:rsidRPr="00E70A51">
        <w:rPr>
          <w:color w:val="000000"/>
        </w:rPr>
        <w:t>shares</w:t>
      </w:r>
      <w:r w:rsidR="001D7126" w:rsidRPr="00E70A51">
        <w:rPr>
          <w:color w:val="000000"/>
        </w:rPr>
        <w:t xml:space="preserve"> were repurchased</w:t>
      </w:r>
      <w:r w:rsidRPr="00E70A51">
        <w:rPr>
          <w:color w:val="000000"/>
        </w:rPr>
        <w:t xml:space="preserve">, at an average price of </w:t>
      </w:r>
      <w:r w:rsidR="00D55E86" w:rsidRPr="00E70A51">
        <w:rPr>
          <w:color w:val="000000"/>
        </w:rPr>
        <w:t>$</w:t>
      </w:r>
      <w:r w:rsidRPr="00E70A51">
        <w:rPr>
          <w:color w:val="000000"/>
        </w:rPr>
        <w:t>1,</w:t>
      </w:r>
      <w:r w:rsidR="003B4365" w:rsidRPr="00E70A51">
        <w:rPr>
          <w:color w:val="000000"/>
        </w:rPr>
        <w:t>7</w:t>
      </w:r>
      <w:r w:rsidR="00E70A51">
        <w:rPr>
          <w:color w:val="000000"/>
        </w:rPr>
        <w:t xml:space="preserve">79 </w:t>
      </w:r>
      <w:r w:rsidRPr="00E70A51">
        <w:rPr>
          <w:color w:val="000000"/>
        </w:rPr>
        <w:t>per share</w:t>
      </w:r>
      <w:r w:rsidR="00AB3AFA" w:rsidRPr="00E37DA8">
        <w:rPr>
          <w:color w:val="000000"/>
        </w:rPr>
        <w:t xml:space="preserve">. CIBL has repurchased </w:t>
      </w:r>
      <w:r w:rsidR="00E37DA8" w:rsidRPr="00E37DA8">
        <w:rPr>
          <w:color w:val="000000"/>
        </w:rPr>
        <w:t>42</w:t>
      </w:r>
      <w:r w:rsidR="000C18AF" w:rsidRPr="00E37DA8">
        <w:rPr>
          <w:color w:val="000000"/>
        </w:rPr>
        <w:t xml:space="preserve">% of its </w:t>
      </w:r>
      <w:r w:rsidR="00E37DA8" w:rsidRPr="00E37DA8">
        <w:rPr>
          <w:color w:val="000000"/>
        </w:rPr>
        <w:t>issued</w:t>
      </w:r>
      <w:r w:rsidR="000C18AF" w:rsidRPr="00E37DA8">
        <w:rPr>
          <w:color w:val="000000"/>
        </w:rPr>
        <w:t xml:space="preserve"> shares since the inception of the program.</w:t>
      </w:r>
    </w:p>
    <w:bookmarkEnd w:id="38"/>
    <w:p w14:paraId="15B2B913" w14:textId="0472C594" w:rsidR="003B6711" w:rsidRDefault="003B6711" w:rsidP="00C474B3">
      <w:pPr>
        <w:autoSpaceDE/>
        <w:autoSpaceDN/>
        <w:adjustRightInd/>
        <w:spacing w:line="320" w:lineRule="atLeast"/>
        <w:ind w:left="144"/>
        <w:jc w:val="center"/>
      </w:pPr>
    </w:p>
    <w:p w14:paraId="36F0456B" w14:textId="77777777" w:rsidR="001E6544" w:rsidRDefault="001E6544" w:rsidP="00C474B3">
      <w:pPr>
        <w:autoSpaceDE/>
        <w:autoSpaceDN/>
        <w:adjustRightInd/>
        <w:spacing w:line="320" w:lineRule="atLeast"/>
        <w:ind w:left="144"/>
        <w:jc w:val="center"/>
        <w:rPr>
          <w:rFonts w:ascii="Arial" w:hAnsi="Arial" w:cs="Arial"/>
          <w:b/>
          <w:sz w:val="32"/>
          <w:szCs w:val="32"/>
        </w:rPr>
      </w:pPr>
    </w:p>
    <w:p w14:paraId="3C39FC47" w14:textId="77777777" w:rsidR="001E6544" w:rsidRDefault="001E6544" w:rsidP="00C474B3">
      <w:pPr>
        <w:autoSpaceDE/>
        <w:autoSpaceDN/>
        <w:adjustRightInd/>
        <w:spacing w:line="320" w:lineRule="atLeast"/>
        <w:ind w:left="144"/>
        <w:jc w:val="center"/>
        <w:rPr>
          <w:rFonts w:ascii="Arial" w:hAnsi="Arial" w:cs="Arial"/>
          <w:b/>
          <w:sz w:val="32"/>
          <w:szCs w:val="32"/>
        </w:rPr>
      </w:pPr>
    </w:p>
    <w:p w14:paraId="08D1BFEE" w14:textId="77777777" w:rsidR="001E6544" w:rsidRDefault="001E6544" w:rsidP="00C474B3">
      <w:pPr>
        <w:autoSpaceDE/>
        <w:autoSpaceDN/>
        <w:adjustRightInd/>
        <w:spacing w:line="320" w:lineRule="atLeast"/>
        <w:ind w:left="144"/>
        <w:jc w:val="center"/>
        <w:rPr>
          <w:rFonts w:ascii="Arial" w:hAnsi="Arial" w:cs="Arial"/>
          <w:b/>
          <w:sz w:val="32"/>
          <w:szCs w:val="32"/>
        </w:rPr>
      </w:pPr>
    </w:p>
    <w:p w14:paraId="6EBEA5D3" w14:textId="77777777" w:rsidR="001E6544" w:rsidRDefault="001E6544" w:rsidP="00C474B3">
      <w:pPr>
        <w:autoSpaceDE/>
        <w:autoSpaceDN/>
        <w:adjustRightInd/>
        <w:spacing w:line="320" w:lineRule="atLeast"/>
        <w:ind w:left="144"/>
        <w:jc w:val="center"/>
        <w:rPr>
          <w:rFonts w:ascii="Arial" w:hAnsi="Arial" w:cs="Arial"/>
          <w:b/>
          <w:sz w:val="32"/>
          <w:szCs w:val="32"/>
        </w:rPr>
      </w:pPr>
    </w:p>
    <w:p w14:paraId="68A812AF" w14:textId="77777777" w:rsidR="001E6544" w:rsidRDefault="001E6544" w:rsidP="00C474B3">
      <w:pPr>
        <w:autoSpaceDE/>
        <w:autoSpaceDN/>
        <w:adjustRightInd/>
        <w:spacing w:line="320" w:lineRule="atLeast"/>
        <w:ind w:left="144"/>
        <w:jc w:val="center"/>
        <w:rPr>
          <w:rFonts w:ascii="Arial" w:hAnsi="Arial" w:cs="Arial"/>
          <w:b/>
          <w:sz w:val="32"/>
          <w:szCs w:val="32"/>
        </w:rPr>
      </w:pPr>
    </w:p>
    <w:p w14:paraId="754F5271" w14:textId="77777777" w:rsidR="001E6544" w:rsidRDefault="001E6544" w:rsidP="00C474B3">
      <w:pPr>
        <w:autoSpaceDE/>
        <w:autoSpaceDN/>
        <w:adjustRightInd/>
        <w:spacing w:line="320" w:lineRule="atLeast"/>
        <w:ind w:left="144"/>
        <w:jc w:val="center"/>
        <w:rPr>
          <w:rFonts w:ascii="Arial" w:hAnsi="Arial" w:cs="Arial"/>
          <w:b/>
          <w:sz w:val="32"/>
          <w:szCs w:val="32"/>
        </w:rPr>
      </w:pPr>
    </w:p>
    <w:p w14:paraId="3FAC1F80" w14:textId="77777777" w:rsidR="001E6544" w:rsidRDefault="001E6544" w:rsidP="00C474B3">
      <w:pPr>
        <w:autoSpaceDE/>
        <w:autoSpaceDN/>
        <w:adjustRightInd/>
        <w:spacing w:line="320" w:lineRule="atLeast"/>
        <w:ind w:left="144"/>
        <w:jc w:val="center"/>
        <w:rPr>
          <w:rFonts w:ascii="Arial" w:hAnsi="Arial" w:cs="Arial"/>
          <w:b/>
          <w:sz w:val="32"/>
          <w:szCs w:val="32"/>
        </w:rPr>
      </w:pPr>
    </w:p>
    <w:p w14:paraId="690B193E" w14:textId="77777777" w:rsidR="001E6544" w:rsidRDefault="001E6544" w:rsidP="00C474B3">
      <w:pPr>
        <w:autoSpaceDE/>
        <w:autoSpaceDN/>
        <w:adjustRightInd/>
        <w:spacing w:line="320" w:lineRule="atLeast"/>
        <w:ind w:left="144"/>
        <w:jc w:val="center"/>
        <w:rPr>
          <w:rFonts w:ascii="Arial" w:hAnsi="Arial" w:cs="Arial"/>
          <w:b/>
          <w:sz w:val="32"/>
          <w:szCs w:val="32"/>
        </w:rPr>
      </w:pPr>
    </w:p>
    <w:p w14:paraId="0E672DED" w14:textId="77777777" w:rsidR="001E6544" w:rsidRDefault="001E6544" w:rsidP="00C474B3">
      <w:pPr>
        <w:autoSpaceDE/>
        <w:autoSpaceDN/>
        <w:adjustRightInd/>
        <w:spacing w:line="320" w:lineRule="atLeast"/>
        <w:ind w:left="144"/>
        <w:jc w:val="center"/>
        <w:rPr>
          <w:rFonts w:ascii="Arial" w:hAnsi="Arial" w:cs="Arial"/>
          <w:b/>
          <w:sz w:val="32"/>
          <w:szCs w:val="32"/>
        </w:rPr>
      </w:pPr>
    </w:p>
    <w:p w14:paraId="3176AFCD" w14:textId="77777777" w:rsidR="001E6544" w:rsidRDefault="001E6544" w:rsidP="00C474B3">
      <w:pPr>
        <w:autoSpaceDE/>
        <w:autoSpaceDN/>
        <w:adjustRightInd/>
        <w:spacing w:line="320" w:lineRule="atLeast"/>
        <w:ind w:left="144"/>
        <w:jc w:val="center"/>
        <w:rPr>
          <w:rFonts w:ascii="Arial" w:hAnsi="Arial" w:cs="Arial"/>
          <w:b/>
          <w:sz w:val="32"/>
          <w:szCs w:val="32"/>
        </w:rPr>
      </w:pPr>
    </w:p>
    <w:p w14:paraId="75889BED" w14:textId="77777777" w:rsidR="001E6544" w:rsidRDefault="001E6544" w:rsidP="00C474B3">
      <w:pPr>
        <w:autoSpaceDE/>
        <w:autoSpaceDN/>
        <w:adjustRightInd/>
        <w:spacing w:line="320" w:lineRule="atLeast"/>
        <w:ind w:left="144"/>
        <w:jc w:val="center"/>
        <w:rPr>
          <w:rFonts w:ascii="Arial" w:hAnsi="Arial" w:cs="Arial"/>
          <w:b/>
          <w:sz w:val="32"/>
          <w:szCs w:val="32"/>
        </w:rPr>
      </w:pPr>
    </w:p>
    <w:p w14:paraId="73972A08" w14:textId="77777777" w:rsidR="001E6544" w:rsidRDefault="001E6544" w:rsidP="00C474B3">
      <w:pPr>
        <w:autoSpaceDE/>
        <w:autoSpaceDN/>
        <w:adjustRightInd/>
        <w:spacing w:line="320" w:lineRule="atLeast"/>
        <w:ind w:left="144"/>
        <w:jc w:val="center"/>
        <w:rPr>
          <w:rFonts w:ascii="Arial" w:hAnsi="Arial" w:cs="Arial"/>
          <w:b/>
          <w:sz w:val="32"/>
          <w:szCs w:val="32"/>
        </w:rPr>
      </w:pPr>
    </w:p>
    <w:p w14:paraId="3B7DB081" w14:textId="77777777" w:rsidR="001E6544" w:rsidRDefault="001E6544" w:rsidP="00C474B3">
      <w:pPr>
        <w:autoSpaceDE/>
        <w:autoSpaceDN/>
        <w:adjustRightInd/>
        <w:spacing w:line="320" w:lineRule="atLeast"/>
        <w:ind w:left="144"/>
        <w:jc w:val="center"/>
        <w:rPr>
          <w:rFonts w:ascii="Arial" w:hAnsi="Arial" w:cs="Arial"/>
          <w:b/>
          <w:sz w:val="32"/>
          <w:szCs w:val="32"/>
        </w:rPr>
      </w:pPr>
    </w:p>
    <w:p w14:paraId="0CCA56E3" w14:textId="77777777" w:rsidR="001E6544" w:rsidRDefault="001E6544" w:rsidP="00C474B3">
      <w:pPr>
        <w:autoSpaceDE/>
        <w:autoSpaceDN/>
        <w:adjustRightInd/>
        <w:spacing w:line="320" w:lineRule="atLeast"/>
        <w:ind w:left="144"/>
        <w:jc w:val="center"/>
        <w:rPr>
          <w:rFonts w:ascii="Arial" w:hAnsi="Arial" w:cs="Arial"/>
          <w:b/>
          <w:sz w:val="32"/>
          <w:szCs w:val="32"/>
        </w:rPr>
      </w:pPr>
    </w:p>
    <w:p w14:paraId="206F5A7E" w14:textId="77777777" w:rsidR="0085529D" w:rsidRDefault="0085529D" w:rsidP="00C474B3">
      <w:pPr>
        <w:autoSpaceDE/>
        <w:autoSpaceDN/>
        <w:adjustRightInd/>
        <w:spacing w:line="320" w:lineRule="atLeast"/>
        <w:ind w:left="144"/>
        <w:jc w:val="center"/>
        <w:rPr>
          <w:rFonts w:ascii="Arial" w:hAnsi="Arial" w:cs="Arial"/>
          <w:b/>
          <w:sz w:val="32"/>
          <w:szCs w:val="32"/>
        </w:rPr>
      </w:pPr>
    </w:p>
    <w:p w14:paraId="48D921EE" w14:textId="423C5AAC" w:rsidR="00C474B3" w:rsidRPr="00BB3661" w:rsidRDefault="00C474B3" w:rsidP="00C474B3">
      <w:pPr>
        <w:autoSpaceDE/>
        <w:autoSpaceDN/>
        <w:adjustRightInd/>
        <w:spacing w:line="320" w:lineRule="atLeast"/>
        <w:ind w:left="144"/>
        <w:jc w:val="center"/>
        <w:rPr>
          <w:rFonts w:ascii="Arial" w:hAnsi="Arial" w:cs="Arial"/>
          <w:b/>
          <w:sz w:val="32"/>
          <w:szCs w:val="32"/>
        </w:rPr>
      </w:pPr>
      <w:r w:rsidRPr="00BB3661">
        <w:rPr>
          <w:rFonts w:ascii="Arial" w:hAnsi="Arial" w:cs="Arial"/>
          <w:b/>
          <w:sz w:val="32"/>
          <w:szCs w:val="32"/>
        </w:rPr>
        <w:t>CIBL, Inc. and Subsidiaries</w:t>
      </w:r>
    </w:p>
    <w:p w14:paraId="4CF78113" w14:textId="77777777" w:rsidR="00C474B3" w:rsidRPr="00BB3661" w:rsidRDefault="00C474B3" w:rsidP="00C474B3">
      <w:pPr>
        <w:autoSpaceDE/>
        <w:autoSpaceDN/>
        <w:adjustRightInd/>
        <w:spacing w:line="320" w:lineRule="atLeast"/>
        <w:ind w:left="144"/>
        <w:jc w:val="center"/>
        <w:rPr>
          <w:rFonts w:ascii="Arial" w:hAnsi="Arial" w:cs="Arial"/>
          <w:b/>
        </w:rPr>
      </w:pPr>
    </w:p>
    <w:p w14:paraId="4E1F9908" w14:textId="48136042" w:rsidR="00C474B3" w:rsidRPr="00BB3661" w:rsidRDefault="00C474B3" w:rsidP="00C474B3">
      <w:pPr>
        <w:autoSpaceDE/>
        <w:autoSpaceDN/>
        <w:adjustRightInd/>
        <w:spacing w:line="320" w:lineRule="atLeast"/>
        <w:ind w:left="144"/>
        <w:jc w:val="center"/>
        <w:rPr>
          <w:rFonts w:ascii="Arial" w:hAnsi="Arial" w:cs="Arial"/>
          <w:b/>
          <w:sz w:val="32"/>
          <w:szCs w:val="32"/>
        </w:rPr>
      </w:pPr>
      <w:r w:rsidRPr="00BB3661">
        <w:rPr>
          <w:rFonts w:ascii="Arial" w:hAnsi="Arial" w:cs="Arial"/>
          <w:b/>
          <w:sz w:val="32"/>
          <w:szCs w:val="32"/>
        </w:rPr>
        <w:t xml:space="preserve">Financial </w:t>
      </w:r>
      <w:r>
        <w:rPr>
          <w:rFonts w:ascii="Arial" w:hAnsi="Arial" w:cs="Arial"/>
          <w:b/>
          <w:sz w:val="32"/>
          <w:szCs w:val="32"/>
        </w:rPr>
        <w:t>Statements</w:t>
      </w:r>
    </w:p>
    <w:p w14:paraId="2D3EADA9" w14:textId="77777777" w:rsidR="00C474B3" w:rsidRPr="00BB3661" w:rsidRDefault="00C474B3" w:rsidP="00C474B3">
      <w:pPr>
        <w:autoSpaceDE/>
        <w:autoSpaceDN/>
        <w:adjustRightInd/>
        <w:ind w:left="144"/>
        <w:rPr>
          <w:rFonts w:ascii="Arial" w:hAnsi="Arial" w:cs="Arial"/>
          <w:b/>
        </w:rPr>
      </w:pPr>
    </w:p>
    <w:p w14:paraId="419EA166" w14:textId="3CCEF13E" w:rsidR="009E402E" w:rsidRDefault="00E831D2" w:rsidP="00736865">
      <w:pPr>
        <w:jc w:val="center"/>
        <w:rPr>
          <w:sz w:val="32"/>
          <w:szCs w:val="32"/>
        </w:rPr>
        <w:sectPr w:rsidR="009E402E" w:rsidSect="00EA464C">
          <w:headerReference w:type="default" r:id="rId9"/>
          <w:footerReference w:type="default" r:id="rId10"/>
          <w:headerReference w:type="first" r:id="rId11"/>
          <w:pgSz w:w="12240" w:h="15840" w:code="1"/>
          <w:pgMar w:top="1440" w:right="1440" w:bottom="720" w:left="1440" w:header="936" w:footer="432" w:gutter="0"/>
          <w:pgNumType w:fmt="upperRoman" w:start="1"/>
          <w:cols w:space="720"/>
          <w:docGrid w:linePitch="326"/>
        </w:sectPr>
      </w:pPr>
      <w:r>
        <w:rPr>
          <w:rFonts w:ascii="Arial" w:hAnsi="Arial" w:cs="Arial"/>
          <w:b/>
          <w:bCs/>
          <w:sz w:val="32"/>
          <w:szCs w:val="32"/>
        </w:rPr>
        <w:t>September</w:t>
      </w:r>
      <w:r w:rsidR="00DF0A4D">
        <w:rPr>
          <w:rFonts w:ascii="Arial" w:hAnsi="Arial" w:cs="Arial"/>
          <w:b/>
          <w:bCs/>
          <w:sz w:val="32"/>
          <w:szCs w:val="32"/>
        </w:rPr>
        <w:t xml:space="preserve"> 3</w:t>
      </w:r>
      <w:r w:rsidR="005C705D">
        <w:rPr>
          <w:rFonts w:ascii="Arial" w:hAnsi="Arial" w:cs="Arial"/>
          <w:b/>
          <w:bCs/>
          <w:sz w:val="32"/>
          <w:szCs w:val="32"/>
        </w:rPr>
        <w:t>0</w:t>
      </w:r>
      <w:r w:rsidR="00C474B3" w:rsidRPr="00BB3661">
        <w:rPr>
          <w:rFonts w:ascii="Arial" w:hAnsi="Arial" w:cs="Arial"/>
          <w:b/>
          <w:bCs/>
          <w:sz w:val="32"/>
          <w:szCs w:val="32"/>
        </w:rPr>
        <w:t xml:space="preserve">, </w:t>
      </w:r>
      <w:proofErr w:type="gramStart"/>
      <w:r w:rsidR="00C474B3" w:rsidRPr="00BB3661">
        <w:rPr>
          <w:rFonts w:ascii="Arial" w:hAnsi="Arial" w:cs="Arial"/>
          <w:b/>
          <w:bCs/>
          <w:sz w:val="32"/>
          <w:szCs w:val="32"/>
        </w:rPr>
        <w:t>20</w:t>
      </w:r>
      <w:r w:rsidR="00BD223D">
        <w:rPr>
          <w:rFonts w:ascii="Arial" w:hAnsi="Arial" w:cs="Arial"/>
          <w:b/>
          <w:bCs/>
          <w:sz w:val="32"/>
          <w:szCs w:val="32"/>
        </w:rPr>
        <w:t>2</w:t>
      </w:r>
      <w:r w:rsidR="003E2118">
        <w:rPr>
          <w:rFonts w:ascii="Arial" w:hAnsi="Arial" w:cs="Arial"/>
          <w:b/>
          <w:bCs/>
          <w:sz w:val="32"/>
          <w:szCs w:val="32"/>
        </w:rPr>
        <w:t>1</w:t>
      </w:r>
      <w:proofErr w:type="gramEnd"/>
      <w:r w:rsidR="00C474B3" w:rsidRPr="00BB3661">
        <w:rPr>
          <w:rFonts w:ascii="Arial" w:hAnsi="Arial" w:cs="Arial"/>
          <w:b/>
          <w:bCs/>
          <w:sz w:val="32"/>
          <w:szCs w:val="32"/>
        </w:rPr>
        <w:t xml:space="preserve"> </w:t>
      </w:r>
    </w:p>
    <w:tbl>
      <w:tblPr>
        <w:tblW w:w="10206" w:type="dxa"/>
        <w:tblLayout w:type="fixed"/>
        <w:tblLook w:val="04A0" w:firstRow="1" w:lastRow="0" w:firstColumn="1" w:lastColumn="0" w:noHBand="0" w:noVBand="1"/>
      </w:tblPr>
      <w:tblGrid>
        <w:gridCol w:w="4860"/>
        <w:gridCol w:w="1620"/>
        <w:gridCol w:w="236"/>
        <w:gridCol w:w="155"/>
        <w:gridCol w:w="303"/>
        <w:gridCol w:w="1153"/>
        <w:gridCol w:w="132"/>
        <w:gridCol w:w="127"/>
        <w:gridCol w:w="1620"/>
      </w:tblGrid>
      <w:tr w:rsidR="00EA6653" w:rsidRPr="0061112F" w14:paraId="221C633C" w14:textId="77777777" w:rsidTr="00F71D68">
        <w:trPr>
          <w:trHeight w:val="467"/>
        </w:trPr>
        <w:tc>
          <w:tcPr>
            <w:tcW w:w="4860" w:type="dxa"/>
            <w:tcBorders>
              <w:top w:val="nil"/>
              <w:left w:val="nil"/>
              <w:bottom w:val="nil"/>
              <w:right w:val="nil"/>
            </w:tcBorders>
            <w:shd w:val="clear" w:color="auto" w:fill="auto"/>
            <w:noWrap/>
            <w:vAlign w:val="bottom"/>
            <w:hideMark/>
          </w:tcPr>
          <w:p w14:paraId="1789BB53" w14:textId="77777777" w:rsidR="00EA6653" w:rsidRPr="004B1A43" w:rsidRDefault="00EA6653" w:rsidP="008E673E">
            <w:pPr>
              <w:autoSpaceDE/>
              <w:autoSpaceDN/>
              <w:adjustRightInd/>
              <w:ind w:left="720"/>
              <w:jc w:val="center"/>
            </w:pPr>
          </w:p>
        </w:tc>
        <w:tc>
          <w:tcPr>
            <w:tcW w:w="1620" w:type="dxa"/>
            <w:tcBorders>
              <w:top w:val="nil"/>
              <w:left w:val="nil"/>
              <w:bottom w:val="single" w:sz="4" w:space="0" w:color="auto"/>
              <w:right w:val="nil"/>
            </w:tcBorders>
            <w:shd w:val="clear" w:color="auto" w:fill="auto"/>
            <w:noWrap/>
            <w:vAlign w:val="bottom"/>
            <w:hideMark/>
          </w:tcPr>
          <w:p w14:paraId="3B4A76E9" w14:textId="1BB0E2E0" w:rsidR="00777D38" w:rsidRDefault="00E831D2" w:rsidP="008E673E">
            <w:pPr>
              <w:autoSpaceDE/>
              <w:autoSpaceDN/>
              <w:adjustRightInd/>
              <w:jc w:val="center"/>
            </w:pPr>
            <w:r>
              <w:t>September</w:t>
            </w:r>
            <w:r w:rsidR="00DF0A4D">
              <w:t xml:space="preserve"> 3</w:t>
            </w:r>
            <w:r w:rsidR="00777D38">
              <w:t>0</w:t>
            </w:r>
            <w:r w:rsidR="00EA6653">
              <w:t xml:space="preserve">, </w:t>
            </w:r>
          </w:p>
          <w:p w14:paraId="19E4254A" w14:textId="7117DB71" w:rsidR="00EA6653" w:rsidRPr="004B1A43" w:rsidRDefault="00EA6653" w:rsidP="008E673E">
            <w:pPr>
              <w:autoSpaceDE/>
              <w:autoSpaceDN/>
              <w:adjustRightInd/>
              <w:jc w:val="center"/>
            </w:pPr>
            <w:r w:rsidRPr="004B1A43">
              <w:t>20</w:t>
            </w:r>
            <w:r w:rsidR="002819E4">
              <w:t>2</w:t>
            </w:r>
            <w:r w:rsidR="00427D9E">
              <w:t>1</w:t>
            </w:r>
          </w:p>
        </w:tc>
        <w:tc>
          <w:tcPr>
            <w:tcW w:w="236" w:type="dxa"/>
            <w:tcBorders>
              <w:top w:val="nil"/>
              <w:left w:val="nil"/>
              <w:bottom w:val="nil"/>
              <w:right w:val="nil"/>
            </w:tcBorders>
            <w:shd w:val="clear" w:color="auto" w:fill="auto"/>
            <w:noWrap/>
            <w:vAlign w:val="bottom"/>
            <w:hideMark/>
          </w:tcPr>
          <w:p w14:paraId="60773BF5" w14:textId="77777777" w:rsidR="00EA6653" w:rsidRPr="004B1A43" w:rsidRDefault="00EA6653" w:rsidP="008E673E">
            <w:pPr>
              <w:autoSpaceDE/>
              <w:autoSpaceDN/>
              <w:adjustRightInd/>
              <w:ind w:left="720"/>
              <w:jc w:val="center"/>
            </w:pPr>
          </w:p>
        </w:tc>
        <w:tc>
          <w:tcPr>
            <w:tcW w:w="1611" w:type="dxa"/>
            <w:gridSpan w:val="3"/>
            <w:tcBorders>
              <w:top w:val="nil"/>
              <w:left w:val="nil"/>
              <w:bottom w:val="single" w:sz="4" w:space="0" w:color="auto"/>
              <w:right w:val="nil"/>
            </w:tcBorders>
          </w:tcPr>
          <w:p w14:paraId="3D11C910" w14:textId="70463E65" w:rsidR="00EA6653" w:rsidRPr="004B1A43" w:rsidRDefault="00EA6653" w:rsidP="008E673E">
            <w:pPr>
              <w:autoSpaceDE/>
              <w:autoSpaceDN/>
              <w:adjustRightInd/>
              <w:jc w:val="center"/>
            </w:pPr>
            <w:r>
              <w:t>December 31, 20</w:t>
            </w:r>
            <w:r w:rsidR="00427D9E">
              <w:t>20</w:t>
            </w:r>
          </w:p>
        </w:tc>
        <w:tc>
          <w:tcPr>
            <w:tcW w:w="259" w:type="dxa"/>
            <w:gridSpan w:val="2"/>
            <w:tcBorders>
              <w:top w:val="nil"/>
              <w:left w:val="nil"/>
              <w:right w:val="nil"/>
            </w:tcBorders>
          </w:tcPr>
          <w:p w14:paraId="25D65BE9" w14:textId="77777777" w:rsidR="00EA6653" w:rsidRPr="004B1A43" w:rsidRDefault="00EA6653" w:rsidP="008E673E">
            <w:pPr>
              <w:autoSpaceDE/>
              <w:autoSpaceDN/>
              <w:adjustRightInd/>
              <w:jc w:val="center"/>
            </w:pPr>
          </w:p>
        </w:tc>
        <w:tc>
          <w:tcPr>
            <w:tcW w:w="1620" w:type="dxa"/>
            <w:tcBorders>
              <w:top w:val="nil"/>
              <w:left w:val="nil"/>
              <w:bottom w:val="single" w:sz="4" w:space="0" w:color="auto"/>
              <w:right w:val="nil"/>
            </w:tcBorders>
            <w:shd w:val="clear" w:color="auto" w:fill="auto"/>
            <w:noWrap/>
            <w:vAlign w:val="bottom"/>
          </w:tcPr>
          <w:p w14:paraId="57C788D0" w14:textId="2BA2C11A" w:rsidR="00777D38" w:rsidRDefault="00E831D2" w:rsidP="00D86321">
            <w:pPr>
              <w:autoSpaceDE/>
              <w:autoSpaceDN/>
              <w:adjustRightInd/>
              <w:jc w:val="center"/>
            </w:pPr>
            <w:r>
              <w:t>September</w:t>
            </w:r>
            <w:r w:rsidR="00427D9E">
              <w:t xml:space="preserve"> 3</w:t>
            </w:r>
            <w:r w:rsidR="00777D38">
              <w:t>0</w:t>
            </w:r>
            <w:r w:rsidR="00427D9E">
              <w:t>,</w:t>
            </w:r>
          </w:p>
          <w:p w14:paraId="5944090F" w14:textId="5D74755E" w:rsidR="00EA6653" w:rsidRPr="004B1A43" w:rsidRDefault="00427D9E" w:rsidP="00D86321">
            <w:pPr>
              <w:autoSpaceDE/>
              <w:autoSpaceDN/>
              <w:adjustRightInd/>
              <w:jc w:val="center"/>
            </w:pPr>
            <w:r>
              <w:t xml:space="preserve"> 2020</w:t>
            </w:r>
          </w:p>
        </w:tc>
      </w:tr>
      <w:tr w:rsidR="00EA6653" w:rsidRPr="00C63218" w14:paraId="5186D756" w14:textId="77777777" w:rsidTr="00F71D68">
        <w:trPr>
          <w:gridAfter w:val="2"/>
          <w:wAfter w:w="1747" w:type="dxa"/>
          <w:trHeight w:val="188"/>
        </w:trPr>
        <w:tc>
          <w:tcPr>
            <w:tcW w:w="4860" w:type="dxa"/>
            <w:tcBorders>
              <w:top w:val="nil"/>
              <w:left w:val="nil"/>
              <w:bottom w:val="nil"/>
              <w:right w:val="nil"/>
            </w:tcBorders>
            <w:shd w:val="clear" w:color="auto" w:fill="auto"/>
            <w:noWrap/>
            <w:vAlign w:val="bottom"/>
            <w:hideMark/>
          </w:tcPr>
          <w:p w14:paraId="3617C605" w14:textId="77777777" w:rsidR="00EA6653" w:rsidRPr="004B1A43" w:rsidRDefault="00EA6653" w:rsidP="008E673E">
            <w:pPr>
              <w:autoSpaceDE/>
              <w:autoSpaceDN/>
              <w:adjustRightInd/>
              <w:jc w:val="both"/>
              <w:rPr>
                <w:b/>
                <w:bCs/>
              </w:rPr>
            </w:pPr>
            <w:r w:rsidRPr="004B1A43">
              <w:rPr>
                <w:b/>
                <w:bCs/>
              </w:rPr>
              <w:t>Assets</w:t>
            </w:r>
          </w:p>
        </w:tc>
        <w:tc>
          <w:tcPr>
            <w:tcW w:w="1620" w:type="dxa"/>
            <w:tcBorders>
              <w:top w:val="nil"/>
              <w:left w:val="nil"/>
              <w:bottom w:val="nil"/>
              <w:right w:val="nil"/>
            </w:tcBorders>
            <w:shd w:val="clear" w:color="auto" w:fill="auto"/>
            <w:noWrap/>
            <w:vAlign w:val="bottom"/>
            <w:hideMark/>
          </w:tcPr>
          <w:p w14:paraId="491483C2" w14:textId="77777777" w:rsidR="00EA6653" w:rsidRPr="004B1A43" w:rsidRDefault="00EA6653" w:rsidP="008E673E">
            <w:pPr>
              <w:autoSpaceDE/>
              <w:autoSpaceDN/>
              <w:adjustRightInd/>
              <w:ind w:left="720"/>
              <w:jc w:val="both"/>
              <w:rPr>
                <w:b/>
                <w:bCs/>
              </w:rPr>
            </w:pPr>
          </w:p>
        </w:tc>
        <w:tc>
          <w:tcPr>
            <w:tcW w:w="391" w:type="dxa"/>
            <w:gridSpan w:val="2"/>
            <w:tcBorders>
              <w:top w:val="nil"/>
              <w:left w:val="nil"/>
              <w:bottom w:val="nil"/>
              <w:right w:val="nil"/>
            </w:tcBorders>
          </w:tcPr>
          <w:p w14:paraId="689ECC4F" w14:textId="77777777" w:rsidR="00EA6653" w:rsidRPr="004B1A43" w:rsidRDefault="00EA6653" w:rsidP="009D0EC7">
            <w:pPr>
              <w:autoSpaceDE/>
              <w:autoSpaceDN/>
              <w:adjustRightInd/>
              <w:jc w:val="center"/>
            </w:pPr>
          </w:p>
        </w:tc>
        <w:tc>
          <w:tcPr>
            <w:tcW w:w="303" w:type="dxa"/>
            <w:tcBorders>
              <w:top w:val="nil"/>
              <w:left w:val="nil"/>
              <w:bottom w:val="nil"/>
              <w:right w:val="nil"/>
            </w:tcBorders>
            <w:shd w:val="clear" w:color="auto" w:fill="auto"/>
            <w:noWrap/>
            <w:vAlign w:val="bottom"/>
            <w:hideMark/>
          </w:tcPr>
          <w:p w14:paraId="330F906E" w14:textId="2B90AF38" w:rsidR="00EA6653" w:rsidRPr="004B1A43" w:rsidRDefault="00EA6653" w:rsidP="009D0EC7">
            <w:pPr>
              <w:autoSpaceDE/>
              <w:autoSpaceDN/>
              <w:adjustRightInd/>
              <w:jc w:val="center"/>
            </w:pPr>
          </w:p>
        </w:tc>
        <w:tc>
          <w:tcPr>
            <w:tcW w:w="1285" w:type="dxa"/>
            <w:gridSpan w:val="2"/>
            <w:tcBorders>
              <w:top w:val="nil"/>
              <w:left w:val="nil"/>
              <w:bottom w:val="nil"/>
              <w:right w:val="nil"/>
            </w:tcBorders>
            <w:shd w:val="clear" w:color="auto" w:fill="auto"/>
            <w:noWrap/>
            <w:vAlign w:val="bottom"/>
          </w:tcPr>
          <w:p w14:paraId="77249576" w14:textId="38AE4D4C" w:rsidR="00EA6653" w:rsidRPr="009D0EC7" w:rsidRDefault="00EA6653" w:rsidP="009D0EC7">
            <w:pPr>
              <w:autoSpaceDE/>
              <w:autoSpaceDN/>
              <w:adjustRightInd/>
              <w:jc w:val="center"/>
            </w:pPr>
          </w:p>
        </w:tc>
      </w:tr>
      <w:tr w:rsidR="00EA6653" w:rsidRPr="0061112F" w14:paraId="44F32798" w14:textId="77777777" w:rsidTr="00F71D68">
        <w:trPr>
          <w:gridAfter w:val="2"/>
          <w:wAfter w:w="1747" w:type="dxa"/>
          <w:trHeight w:val="333"/>
        </w:trPr>
        <w:tc>
          <w:tcPr>
            <w:tcW w:w="4860" w:type="dxa"/>
            <w:tcBorders>
              <w:top w:val="nil"/>
              <w:left w:val="nil"/>
              <w:bottom w:val="nil"/>
              <w:right w:val="nil"/>
            </w:tcBorders>
            <w:shd w:val="clear" w:color="auto" w:fill="auto"/>
            <w:noWrap/>
            <w:vAlign w:val="bottom"/>
            <w:hideMark/>
          </w:tcPr>
          <w:p w14:paraId="3CFFE7AB" w14:textId="77777777" w:rsidR="00EA6653" w:rsidRPr="004B1A43" w:rsidRDefault="00EA6653" w:rsidP="008E673E">
            <w:pPr>
              <w:autoSpaceDE/>
              <w:autoSpaceDN/>
              <w:adjustRightInd/>
              <w:jc w:val="both"/>
            </w:pPr>
            <w:r w:rsidRPr="004B1A43">
              <w:t>Current Assets</w:t>
            </w:r>
          </w:p>
        </w:tc>
        <w:tc>
          <w:tcPr>
            <w:tcW w:w="1620" w:type="dxa"/>
            <w:tcBorders>
              <w:top w:val="nil"/>
              <w:left w:val="nil"/>
              <w:bottom w:val="nil"/>
              <w:right w:val="nil"/>
            </w:tcBorders>
            <w:shd w:val="clear" w:color="auto" w:fill="auto"/>
            <w:noWrap/>
            <w:vAlign w:val="bottom"/>
            <w:hideMark/>
          </w:tcPr>
          <w:p w14:paraId="40675467" w14:textId="77777777" w:rsidR="00EA6653" w:rsidRPr="004B1A43" w:rsidRDefault="00EA6653" w:rsidP="008E673E">
            <w:pPr>
              <w:autoSpaceDE/>
              <w:autoSpaceDN/>
              <w:adjustRightInd/>
              <w:ind w:left="720"/>
              <w:jc w:val="right"/>
            </w:pPr>
          </w:p>
        </w:tc>
        <w:tc>
          <w:tcPr>
            <w:tcW w:w="391" w:type="dxa"/>
            <w:gridSpan w:val="2"/>
            <w:tcBorders>
              <w:top w:val="nil"/>
              <w:left w:val="nil"/>
              <w:bottom w:val="nil"/>
              <w:right w:val="nil"/>
            </w:tcBorders>
          </w:tcPr>
          <w:p w14:paraId="38269AE2" w14:textId="77777777" w:rsidR="00EA6653" w:rsidRPr="004B1A43" w:rsidRDefault="00EA6653" w:rsidP="009D0EC7">
            <w:pPr>
              <w:autoSpaceDE/>
              <w:autoSpaceDN/>
              <w:adjustRightInd/>
              <w:jc w:val="center"/>
            </w:pPr>
          </w:p>
        </w:tc>
        <w:tc>
          <w:tcPr>
            <w:tcW w:w="303" w:type="dxa"/>
            <w:tcBorders>
              <w:top w:val="nil"/>
              <w:left w:val="nil"/>
              <w:bottom w:val="nil"/>
              <w:right w:val="nil"/>
            </w:tcBorders>
            <w:shd w:val="clear" w:color="auto" w:fill="auto"/>
            <w:noWrap/>
            <w:vAlign w:val="bottom"/>
            <w:hideMark/>
          </w:tcPr>
          <w:p w14:paraId="571DBF9E" w14:textId="2F10F227" w:rsidR="00EA6653" w:rsidRPr="004B1A43" w:rsidRDefault="00EA6653" w:rsidP="009D0EC7">
            <w:pPr>
              <w:autoSpaceDE/>
              <w:autoSpaceDN/>
              <w:adjustRightInd/>
              <w:jc w:val="center"/>
            </w:pPr>
          </w:p>
        </w:tc>
        <w:tc>
          <w:tcPr>
            <w:tcW w:w="1285" w:type="dxa"/>
            <w:gridSpan w:val="2"/>
            <w:tcBorders>
              <w:top w:val="nil"/>
              <w:left w:val="nil"/>
              <w:bottom w:val="nil"/>
              <w:right w:val="nil"/>
            </w:tcBorders>
            <w:shd w:val="clear" w:color="auto" w:fill="auto"/>
            <w:noWrap/>
            <w:vAlign w:val="bottom"/>
          </w:tcPr>
          <w:p w14:paraId="2B4D0630" w14:textId="77777777" w:rsidR="00EA6653" w:rsidRPr="004B1A43" w:rsidRDefault="00EA6653" w:rsidP="009D0EC7">
            <w:pPr>
              <w:autoSpaceDE/>
              <w:autoSpaceDN/>
              <w:adjustRightInd/>
              <w:jc w:val="center"/>
            </w:pPr>
          </w:p>
        </w:tc>
      </w:tr>
      <w:tr w:rsidR="00753CD5" w:rsidRPr="0061112F" w14:paraId="07948035" w14:textId="77777777" w:rsidTr="00F71D68">
        <w:trPr>
          <w:trHeight w:val="276"/>
        </w:trPr>
        <w:tc>
          <w:tcPr>
            <w:tcW w:w="4860" w:type="dxa"/>
            <w:tcBorders>
              <w:top w:val="nil"/>
              <w:left w:val="nil"/>
              <w:bottom w:val="nil"/>
              <w:right w:val="nil"/>
            </w:tcBorders>
            <w:shd w:val="clear" w:color="auto" w:fill="auto"/>
            <w:noWrap/>
            <w:vAlign w:val="bottom"/>
            <w:hideMark/>
          </w:tcPr>
          <w:p w14:paraId="3F42C8FC" w14:textId="374848D2" w:rsidR="00753CD5" w:rsidRPr="004B1A43" w:rsidRDefault="00753CD5" w:rsidP="00753CD5">
            <w:pPr>
              <w:autoSpaceDE/>
              <w:autoSpaceDN/>
              <w:adjustRightInd/>
              <w:ind w:left="144"/>
              <w:jc w:val="both"/>
            </w:pPr>
            <w:r>
              <w:t xml:space="preserve">United States Treasury Bills </w:t>
            </w:r>
          </w:p>
        </w:tc>
        <w:tc>
          <w:tcPr>
            <w:tcW w:w="1620" w:type="dxa"/>
            <w:tcBorders>
              <w:top w:val="nil"/>
              <w:left w:val="nil"/>
              <w:bottom w:val="nil"/>
              <w:right w:val="nil"/>
            </w:tcBorders>
            <w:shd w:val="clear" w:color="auto" w:fill="auto"/>
            <w:noWrap/>
            <w:vAlign w:val="bottom"/>
          </w:tcPr>
          <w:p w14:paraId="0025526D" w14:textId="05FD6F5A" w:rsidR="00753CD5" w:rsidRPr="00BA6F63" w:rsidRDefault="00753CD5" w:rsidP="00753CD5">
            <w:pPr>
              <w:autoSpaceDE/>
              <w:autoSpaceDN/>
              <w:adjustRightInd/>
              <w:jc w:val="right"/>
            </w:pPr>
            <w:r>
              <w:t>$23,999</w:t>
            </w:r>
          </w:p>
        </w:tc>
        <w:tc>
          <w:tcPr>
            <w:tcW w:w="236" w:type="dxa"/>
            <w:tcBorders>
              <w:top w:val="nil"/>
              <w:left w:val="nil"/>
              <w:bottom w:val="nil"/>
              <w:right w:val="nil"/>
            </w:tcBorders>
            <w:shd w:val="clear" w:color="auto" w:fill="auto"/>
            <w:noWrap/>
            <w:vAlign w:val="bottom"/>
          </w:tcPr>
          <w:p w14:paraId="32D7E223" w14:textId="77777777" w:rsidR="00753CD5" w:rsidRPr="00BA6F63" w:rsidRDefault="00753CD5" w:rsidP="00753CD5">
            <w:pPr>
              <w:autoSpaceDE/>
              <w:autoSpaceDN/>
              <w:adjustRightInd/>
              <w:ind w:left="720"/>
              <w:jc w:val="right"/>
            </w:pPr>
          </w:p>
        </w:tc>
        <w:tc>
          <w:tcPr>
            <w:tcW w:w="1611" w:type="dxa"/>
            <w:gridSpan w:val="3"/>
            <w:tcBorders>
              <w:top w:val="nil"/>
              <w:left w:val="nil"/>
              <w:bottom w:val="nil"/>
              <w:right w:val="nil"/>
            </w:tcBorders>
            <w:vAlign w:val="bottom"/>
          </w:tcPr>
          <w:p w14:paraId="411541A3" w14:textId="40497B4C" w:rsidR="00753CD5" w:rsidRPr="00BA6F63" w:rsidRDefault="00753CD5" w:rsidP="00753CD5">
            <w:pPr>
              <w:autoSpaceDE/>
              <w:autoSpaceDN/>
              <w:adjustRightInd/>
              <w:jc w:val="right"/>
            </w:pPr>
            <w:r>
              <w:t>15,000</w:t>
            </w:r>
          </w:p>
        </w:tc>
        <w:tc>
          <w:tcPr>
            <w:tcW w:w="259" w:type="dxa"/>
            <w:gridSpan w:val="2"/>
            <w:tcBorders>
              <w:top w:val="nil"/>
              <w:left w:val="nil"/>
              <w:bottom w:val="nil"/>
              <w:right w:val="nil"/>
            </w:tcBorders>
          </w:tcPr>
          <w:p w14:paraId="66B05015" w14:textId="77777777" w:rsidR="00753CD5" w:rsidRPr="00BA6F63" w:rsidRDefault="00753CD5" w:rsidP="00753CD5">
            <w:pPr>
              <w:autoSpaceDE/>
              <w:autoSpaceDN/>
              <w:adjustRightInd/>
              <w:jc w:val="right"/>
            </w:pPr>
          </w:p>
        </w:tc>
        <w:tc>
          <w:tcPr>
            <w:tcW w:w="1620" w:type="dxa"/>
            <w:tcBorders>
              <w:top w:val="nil"/>
              <w:left w:val="nil"/>
              <w:bottom w:val="nil"/>
              <w:right w:val="nil"/>
            </w:tcBorders>
            <w:shd w:val="clear" w:color="auto" w:fill="auto"/>
            <w:noWrap/>
            <w:vAlign w:val="bottom"/>
          </w:tcPr>
          <w:p w14:paraId="1F0B1795" w14:textId="66A58FD5" w:rsidR="00753CD5" w:rsidRPr="00BA6F63" w:rsidRDefault="00753CD5" w:rsidP="00753CD5">
            <w:pPr>
              <w:autoSpaceDE/>
              <w:autoSpaceDN/>
              <w:adjustRightInd/>
              <w:jc w:val="right"/>
            </w:pPr>
            <w:r>
              <w:t>$--</w:t>
            </w:r>
          </w:p>
        </w:tc>
      </w:tr>
      <w:tr w:rsidR="00753CD5" w:rsidRPr="0061112F" w14:paraId="0B9347F4" w14:textId="77777777" w:rsidTr="00F71D68">
        <w:trPr>
          <w:trHeight w:val="276"/>
        </w:trPr>
        <w:tc>
          <w:tcPr>
            <w:tcW w:w="4860" w:type="dxa"/>
            <w:tcBorders>
              <w:top w:val="nil"/>
              <w:left w:val="nil"/>
              <w:bottom w:val="nil"/>
              <w:right w:val="nil"/>
            </w:tcBorders>
            <w:shd w:val="clear" w:color="auto" w:fill="auto"/>
            <w:noWrap/>
            <w:vAlign w:val="bottom"/>
          </w:tcPr>
          <w:p w14:paraId="67906CD7" w14:textId="461DF2EE" w:rsidR="00753CD5" w:rsidRDefault="00753CD5" w:rsidP="00753CD5">
            <w:pPr>
              <w:autoSpaceDE/>
              <w:autoSpaceDN/>
              <w:adjustRightInd/>
              <w:ind w:left="144"/>
              <w:jc w:val="both"/>
            </w:pPr>
            <w:r>
              <w:t>Cash</w:t>
            </w:r>
          </w:p>
        </w:tc>
        <w:tc>
          <w:tcPr>
            <w:tcW w:w="1620" w:type="dxa"/>
            <w:tcBorders>
              <w:top w:val="nil"/>
              <w:left w:val="nil"/>
              <w:bottom w:val="nil"/>
              <w:right w:val="nil"/>
            </w:tcBorders>
            <w:shd w:val="clear" w:color="auto" w:fill="auto"/>
            <w:noWrap/>
            <w:vAlign w:val="bottom"/>
          </w:tcPr>
          <w:p w14:paraId="2AAC6463" w14:textId="6CE1B3B5" w:rsidR="00753CD5" w:rsidRDefault="00753CD5" w:rsidP="00753CD5">
            <w:pPr>
              <w:autoSpaceDE/>
              <w:autoSpaceDN/>
              <w:adjustRightInd/>
              <w:ind w:left="720"/>
              <w:jc w:val="right"/>
            </w:pPr>
            <w:r>
              <w:t>2,183</w:t>
            </w:r>
          </w:p>
        </w:tc>
        <w:tc>
          <w:tcPr>
            <w:tcW w:w="236" w:type="dxa"/>
            <w:tcBorders>
              <w:top w:val="nil"/>
              <w:left w:val="nil"/>
              <w:bottom w:val="nil"/>
              <w:right w:val="nil"/>
            </w:tcBorders>
            <w:shd w:val="clear" w:color="auto" w:fill="auto"/>
            <w:noWrap/>
            <w:vAlign w:val="bottom"/>
          </w:tcPr>
          <w:p w14:paraId="3293F7E4" w14:textId="77777777" w:rsidR="00753CD5" w:rsidRPr="00BA6F63" w:rsidRDefault="00753CD5" w:rsidP="00753CD5">
            <w:pPr>
              <w:autoSpaceDE/>
              <w:autoSpaceDN/>
              <w:adjustRightInd/>
              <w:ind w:left="720"/>
              <w:jc w:val="right"/>
            </w:pPr>
          </w:p>
        </w:tc>
        <w:tc>
          <w:tcPr>
            <w:tcW w:w="1611" w:type="dxa"/>
            <w:gridSpan w:val="3"/>
            <w:tcBorders>
              <w:top w:val="nil"/>
              <w:left w:val="nil"/>
              <w:bottom w:val="nil"/>
              <w:right w:val="nil"/>
            </w:tcBorders>
            <w:vAlign w:val="bottom"/>
          </w:tcPr>
          <w:p w14:paraId="7199BC11" w14:textId="4A060D64" w:rsidR="00753CD5" w:rsidRDefault="000D01E7" w:rsidP="00753CD5">
            <w:pPr>
              <w:autoSpaceDE/>
              <w:autoSpaceDN/>
              <w:adjustRightInd/>
              <w:jc w:val="right"/>
            </w:pPr>
            <w:r>
              <w:t>12,711</w:t>
            </w:r>
          </w:p>
        </w:tc>
        <w:tc>
          <w:tcPr>
            <w:tcW w:w="259" w:type="dxa"/>
            <w:gridSpan w:val="2"/>
            <w:tcBorders>
              <w:top w:val="nil"/>
              <w:left w:val="nil"/>
              <w:bottom w:val="nil"/>
              <w:right w:val="nil"/>
            </w:tcBorders>
          </w:tcPr>
          <w:p w14:paraId="31D0DB00" w14:textId="77777777" w:rsidR="00753CD5" w:rsidRPr="00BA6F63" w:rsidRDefault="00753CD5" w:rsidP="00753CD5">
            <w:pPr>
              <w:autoSpaceDE/>
              <w:autoSpaceDN/>
              <w:adjustRightInd/>
              <w:ind w:left="720"/>
              <w:jc w:val="right"/>
            </w:pPr>
          </w:p>
        </w:tc>
        <w:tc>
          <w:tcPr>
            <w:tcW w:w="1620" w:type="dxa"/>
            <w:tcBorders>
              <w:top w:val="nil"/>
              <w:left w:val="nil"/>
              <w:bottom w:val="nil"/>
              <w:right w:val="nil"/>
            </w:tcBorders>
            <w:shd w:val="clear" w:color="auto" w:fill="auto"/>
            <w:noWrap/>
            <w:vAlign w:val="bottom"/>
          </w:tcPr>
          <w:p w14:paraId="346E6E89" w14:textId="348544EF" w:rsidR="00753CD5" w:rsidRDefault="000D01E7" w:rsidP="00753CD5">
            <w:pPr>
              <w:autoSpaceDE/>
              <w:autoSpaceDN/>
              <w:adjustRightInd/>
              <w:ind w:left="720"/>
              <w:jc w:val="right"/>
            </w:pPr>
            <w:r>
              <w:t>28,800</w:t>
            </w:r>
          </w:p>
        </w:tc>
      </w:tr>
      <w:tr w:rsidR="000C18AF" w14:paraId="09448B76" w14:textId="77777777" w:rsidTr="00704081">
        <w:trPr>
          <w:trHeight w:val="276"/>
        </w:trPr>
        <w:tc>
          <w:tcPr>
            <w:tcW w:w="4860" w:type="dxa"/>
            <w:tcBorders>
              <w:top w:val="nil"/>
              <w:left w:val="nil"/>
              <w:bottom w:val="nil"/>
              <w:right w:val="nil"/>
            </w:tcBorders>
            <w:shd w:val="clear" w:color="auto" w:fill="auto"/>
            <w:noWrap/>
            <w:vAlign w:val="bottom"/>
          </w:tcPr>
          <w:p w14:paraId="32F8F8CA" w14:textId="77777777" w:rsidR="000C18AF" w:rsidRDefault="000C18AF" w:rsidP="00704081">
            <w:pPr>
              <w:autoSpaceDE/>
              <w:autoSpaceDN/>
              <w:adjustRightInd/>
              <w:ind w:left="144"/>
              <w:jc w:val="both"/>
            </w:pPr>
            <w:r>
              <w:t>Investments in equity method affiliated entities</w:t>
            </w:r>
          </w:p>
        </w:tc>
        <w:tc>
          <w:tcPr>
            <w:tcW w:w="1620" w:type="dxa"/>
            <w:tcBorders>
              <w:top w:val="nil"/>
              <w:left w:val="nil"/>
              <w:bottom w:val="nil"/>
              <w:right w:val="nil"/>
            </w:tcBorders>
            <w:shd w:val="clear" w:color="auto" w:fill="auto"/>
            <w:noWrap/>
            <w:vAlign w:val="bottom"/>
          </w:tcPr>
          <w:p w14:paraId="146D2910" w14:textId="77777777" w:rsidR="000C18AF" w:rsidRDefault="000C18AF" w:rsidP="00704081">
            <w:pPr>
              <w:autoSpaceDE/>
              <w:autoSpaceDN/>
              <w:adjustRightInd/>
              <w:ind w:left="720"/>
              <w:jc w:val="right"/>
            </w:pPr>
            <w:r>
              <w:t>1,686</w:t>
            </w:r>
          </w:p>
        </w:tc>
        <w:tc>
          <w:tcPr>
            <w:tcW w:w="236" w:type="dxa"/>
            <w:tcBorders>
              <w:top w:val="nil"/>
              <w:left w:val="nil"/>
              <w:bottom w:val="nil"/>
              <w:right w:val="nil"/>
            </w:tcBorders>
            <w:shd w:val="clear" w:color="auto" w:fill="auto"/>
            <w:noWrap/>
            <w:vAlign w:val="bottom"/>
          </w:tcPr>
          <w:p w14:paraId="3ACD0FD2" w14:textId="77777777" w:rsidR="000C18AF" w:rsidRPr="00BA6F63" w:rsidRDefault="000C18AF" w:rsidP="00704081">
            <w:pPr>
              <w:autoSpaceDE/>
              <w:autoSpaceDN/>
              <w:adjustRightInd/>
              <w:ind w:left="720"/>
              <w:jc w:val="right"/>
            </w:pPr>
          </w:p>
        </w:tc>
        <w:tc>
          <w:tcPr>
            <w:tcW w:w="1611" w:type="dxa"/>
            <w:gridSpan w:val="3"/>
            <w:tcBorders>
              <w:top w:val="nil"/>
              <w:left w:val="nil"/>
              <w:bottom w:val="nil"/>
              <w:right w:val="nil"/>
            </w:tcBorders>
            <w:vAlign w:val="bottom"/>
          </w:tcPr>
          <w:p w14:paraId="67E4D04A" w14:textId="77777777" w:rsidR="000C18AF" w:rsidRDefault="000C18AF" w:rsidP="00704081">
            <w:pPr>
              <w:autoSpaceDE/>
              <w:autoSpaceDN/>
              <w:adjustRightInd/>
              <w:jc w:val="right"/>
            </w:pPr>
            <w:r>
              <w:t>1,580</w:t>
            </w:r>
          </w:p>
        </w:tc>
        <w:tc>
          <w:tcPr>
            <w:tcW w:w="259" w:type="dxa"/>
            <w:gridSpan w:val="2"/>
            <w:tcBorders>
              <w:top w:val="nil"/>
              <w:left w:val="nil"/>
              <w:bottom w:val="nil"/>
              <w:right w:val="nil"/>
            </w:tcBorders>
          </w:tcPr>
          <w:p w14:paraId="5017A164" w14:textId="77777777" w:rsidR="000C18AF" w:rsidRPr="00BA6F63" w:rsidRDefault="000C18AF" w:rsidP="00704081">
            <w:pPr>
              <w:autoSpaceDE/>
              <w:autoSpaceDN/>
              <w:adjustRightInd/>
              <w:ind w:left="720"/>
              <w:jc w:val="right"/>
            </w:pPr>
          </w:p>
        </w:tc>
        <w:tc>
          <w:tcPr>
            <w:tcW w:w="1620" w:type="dxa"/>
            <w:tcBorders>
              <w:top w:val="nil"/>
              <w:left w:val="nil"/>
              <w:bottom w:val="nil"/>
              <w:right w:val="nil"/>
            </w:tcBorders>
            <w:shd w:val="clear" w:color="auto" w:fill="auto"/>
            <w:noWrap/>
            <w:vAlign w:val="bottom"/>
          </w:tcPr>
          <w:p w14:paraId="3597527E" w14:textId="77777777" w:rsidR="000C18AF" w:rsidRDefault="000C18AF" w:rsidP="00704081">
            <w:pPr>
              <w:autoSpaceDE/>
              <w:autoSpaceDN/>
              <w:adjustRightInd/>
              <w:ind w:left="705" w:right="-7"/>
              <w:jc w:val="right"/>
            </w:pPr>
            <w:r>
              <w:t>1,487</w:t>
            </w:r>
          </w:p>
        </w:tc>
      </w:tr>
      <w:tr w:rsidR="00753CD5" w:rsidRPr="0061112F" w14:paraId="6AAFD4EA" w14:textId="77777777" w:rsidTr="00F71D68">
        <w:trPr>
          <w:trHeight w:val="276"/>
        </w:trPr>
        <w:tc>
          <w:tcPr>
            <w:tcW w:w="4860" w:type="dxa"/>
            <w:tcBorders>
              <w:top w:val="nil"/>
              <w:left w:val="nil"/>
              <w:bottom w:val="nil"/>
              <w:right w:val="nil"/>
            </w:tcBorders>
            <w:shd w:val="clear" w:color="auto" w:fill="auto"/>
            <w:noWrap/>
            <w:vAlign w:val="bottom"/>
          </w:tcPr>
          <w:p w14:paraId="7ABBB502" w14:textId="4395187F" w:rsidR="00753CD5" w:rsidRPr="004B1A43" w:rsidRDefault="00753CD5" w:rsidP="00753CD5">
            <w:pPr>
              <w:autoSpaceDE/>
              <w:autoSpaceDN/>
              <w:adjustRightInd/>
              <w:ind w:left="144"/>
              <w:jc w:val="both"/>
            </w:pPr>
            <w:r>
              <w:t xml:space="preserve">Accounts receivable, net of </w:t>
            </w:r>
            <w:r w:rsidRPr="002D06BC">
              <w:t>allowance of $1</w:t>
            </w:r>
          </w:p>
        </w:tc>
        <w:tc>
          <w:tcPr>
            <w:tcW w:w="1620" w:type="dxa"/>
            <w:tcBorders>
              <w:top w:val="nil"/>
              <w:left w:val="nil"/>
              <w:bottom w:val="nil"/>
              <w:right w:val="nil"/>
            </w:tcBorders>
            <w:shd w:val="clear" w:color="auto" w:fill="auto"/>
            <w:noWrap/>
            <w:vAlign w:val="bottom"/>
          </w:tcPr>
          <w:p w14:paraId="0E1C1533" w14:textId="24DBAD22" w:rsidR="00753CD5" w:rsidRPr="00BA6F63" w:rsidRDefault="00753CD5" w:rsidP="00753CD5">
            <w:pPr>
              <w:autoSpaceDE/>
              <w:autoSpaceDN/>
              <w:adjustRightInd/>
              <w:ind w:left="720"/>
              <w:jc w:val="right"/>
            </w:pPr>
            <w:r>
              <w:t>174</w:t>
            </w:r>
          </w:p>
        </w:tc>
        <w:tc>
          <w:tcPr>
            <w:tcW w:w="236" w:type="dxa"/>
            <w:tcBorders>
              <w:top w:val="nil"/>
              <w:left w:val="nil"/>
              <w:bottom w:val="nil"/>
              <w:right w:val="nil"/>
            </w:tcBorders>
            <w:shd w:val="clear" w:color="auto" w:fill="auto"/>
            <w:noWrap/>
            <w:vAlign w:val="bottom"/>
          </w:tcPr>
          <w:p w14:paraId="66660896" w14:textId="77777777" w:rsidR="00753CD5" w:rsidRPr="00BA6F63" w:rsidRDefault="00753CD5" w:rsidP="00753CD5">
            <w:pPr>
              <w:autoSpaceDE/>
              <w:autoSpaceDN/>
              <w:adjustRightInd/>
              <w:ind w:left="720"/>
              <w:jc w:val="right"/>
            </w:pPr>
          </w:p>
        </w:tc>
        <w:tc>
          <w:tcPr>
            <w:tcW w:w="1611" w:type="dxa"/>
            <w:gridSpan w:val="3"/>
            <w:tcBorders>
              <w:top w:val="nil"/>
              <w:left w:val="nil"/>
              <w:bottom w:val="nil"/>
              <w:right w:val="nil"/>
            </w:tcBorders>
            <w:vAlign w:val="bottom"/>
          </w:tcPr>
          <w:p w14:paraId="146875D5" w14:textId="37565B97" w:rsidR="00753CD5" w:rsidRPr="00BA6F63" w:rsidRDefault="00753CD5" w:rsidP="00753CD5">
            <w:pPr>
              <w:autoSpaceDE/>
              <w:autoSpaceDN/>
              <w:adjustRightInd/>
              <w:jc w:val="right"/>
            </w:pPr>
            <w:r>
              <w:t>236</w:t>
            </w:r>
          </w:p>
        </w:tc>
        <w:tc>
          <w:tcPr>
            <w:tcW w:w="259" w:type="dxa"/>
            <w:gridSpan w:val="2"/>
            <w:tcBorders>
              <w:top w:val="nil"/>
              <w:left w:val="nil"/>
              <w:bottom w:val="nil"/>
              <w:right w:val="nil"/>
            </w:tcBorders>
          </w:tcPr>
          <w:p w14:paraId="752CA21F" w14:textId="77777777" w:rsidR="00753CD5" w:rsidRPr="00BA6F63" w:rsidRDefault="00753CD5" w:rsidP="00753CD5">
            <w:pPr>
              <w:autoSpaceDE/>
              <w:autoSpaceDN/>
              <w:adjustRightInd/>
              <w:ind w:left="720"/>
              <w:jc w:val="right"/>
            </w:pPr>
          </w:p>
        </w:tc>
        <w:tc>
          <w:tcPr>
            <w:tcW w:w="1620" w:type="dxa"/>
            <w:tcBorders>
              <w:top w:val="nil"/>
              <w:left w:val="nil"/>
              <w:bottom w:val="nil"/>
              <w:right w:val="nil"/>
            </w:tcBorders>
            <w:shd w:val="clear" w:color="auto" w:fill="auto"/>
            <w:noWrap/>
            <w:vAlign w:val="bottom"/>
          </w:tcPr>
          <w:p w14:paraId="73645222" w14:textId="1689F5A6" w:rsidR="00753CD5" w:rsidRPr="00BA6F63" w:rsidRDefault="00753CD5" w:rsidP="00753CD5">
            <w:pPr>
              <w:autoSpaceDE/>
              <w:autoSpaceDN/>
              <w:adjustRightInd/>
              <w:ind w:left="720"/>
              <w:jc w:val="right"/>
            </w:pPr>
            <w:r>
              <w:t>177</w:t>
            </w:r>
          </w:p>
        </w:tc>
      </w:tr>
      <w:tr w:rsidR="00753CD5" w:rsidRPr="0061112F" w14:paraId="043A4799" w14:textId="77777777" w:rsidTr="00F71D68">
        <w:trPr>
          <w:trHeight w:val="276"/>
        </w:trPr>
        <w:tc>
          <w:tcPr>
            <w:tcW w:w="4860" w:type="dxa"/>
            <w:tcBorders>
              <w:top w:val="nil"/>
              <w:left w:val="nil"/>
              <w:bottom w:val="nil"/>
              <w:right w:val="nil"/>
            </w:tcBorders>
            <w:shd w:val="clear" w:color="auto" w:fill="auto"/>
            <w:noWrap/>
            <w:vAlign w:val="bottom"/>
          </w:tcPr>
          <w:p w14:paraId="65B17597" w14:textId="776BBC28" w:rsidR="00753CD5" w:rsidRPr="004B1A43" w:rsidRDefault="00753CD5" w:rsidP="00753CD5">
            <w:pPr>
              <w:autoSpaceDE/>
              <w:autoSpaceDN/>
              <w:adjustRightInd/>
              <w:ind w:left="144"/>
              <w:jc w:val="both"/>
            </w:pPr>
            <w:r>
              <w:t xml:space="preserve">Prepaid expenses </w:t>
            </w:r>
          </w:p>
        </w:tc>
        <w:tc>
          <w:tcPr>
            <w:tcW w:w="1620" w:type="dxa"/>
            <w:tcBorders>
              <w:top w:val="nil"/>
              <w:left w:val="nil"/>
              <w:bottom w:val="nil"/>
              <w:right w:val="nil"/>
            </w:tcBorders>
            <w:shd w:val="clear" w:color="auto" w:fill="auto"/>
            <w:noWrap/>
            <w:vAlign w:val="bottom"/>
          </w:tcPr>
          <w:p w14:paraId="63F9055C" w14:textId="1A8DC067" w:rsidR="00753CD5" w:rsidRPr="00BA6F63" w:rsidRDefault="00753CD5" w:rsidP="00753CD5">
            <w:pPr>
              <w:autoSpaceDE/>
              <w:autoSpaceDN/>
              <w:adjustRightInd/>
              <w:ind w:left="720"/>
              <w:jc w:val="right"/>
            </w:pPr>
            <w:r>
              <w:t>1</w:t>
            </w:r>
          </w:p>
        </w:tc>
        <w:tc>
          <w:tcPr>
            <w:tcW w:w="236" w:type="dxa"/>
            <w:tcBorders>
              <w:top w:val="nil"/>
              <w:left w:val="nil"/>
              <w:bottom w:val="nil"/>
              <w:right w:val="nil"/>
            </w:tcBorders>
            <w:shd w:val="clear" w:color="auto" w:fill="auto"/>
            <w:noWrap/>
            <w:vAlign w:val="bottom"/>
          </w:tcPr>
          <w:p w14:paraId="634F7CA7" w14:textId="77777777" w:rsidR="00753CD5" w:rsidRPr="00BA6F63" w:rsidRDefault="00753CD5" w:rsidP="00753CD5">
            <w:pPr>
              <w:autoSpaceDE/>
              <w:autoSpaceDN/>
              <w:adjustRightInd/>
              <w:ind w:left="720"/>
              <w:jc w:val="right"/>
            </w:pPr>
          </w:p>
        </w:tc>
        <w:tc>
          <w:tcPr>
            <w:tcW w:w="1611" w:type="dxa"/>
            <w:gridSpan w:val="3"/>
            <w:tcBorders>
              <w:top w:val="nil"/>
              <w:left w:val="nil"/>
              <w:bottom w:val="nil"/>
              <w:right w:val="nil"/>
            </w:tcBorders>
            <w:vAlign w:val="bottom"/>
          </w:tcPr>
          <w:p w14:paraId="7B6DF186" w14:textId="377F0665" w:rsidR="00753CD5" w:rsidRPr="00BA6F63" w:rsidRDefault="00753CD5" w:rsidP="00753CD5">
            <w:pPr>
              <w:autoSpaceDE/>
              <w:autoSpaceDN/>
              <w:adjustRightInd/>
              <w:jc w:val="right"/>
            </w:pPr>
            <w:r>
              <w:t>190</w:t>
            </w:r>
          </w:p>
        </w:tc>
        <w:tc>
          <w:tcPr>
            <w:tcW w:w="259" w:type="dxa"/>
            <w:gridSpan w:val="2"/>
            <w:tcBorders>
              <w:top w:val="nil"/>
              <w:left w:val="nil"/>
              <w:bottom w:val="nil"/>
              <w:right w:val="nil"/>
            </w:tcBorders>
          </w:tcPr>
          <w:p w14:paraId="43D7A03C" w14:textId="77777777" w:rsidR="00753CD5" w:rsidRPr="00BA6F63" w:rsidRDefault="00753CD5" w:rsidP="00753CD5">
            <w:pPr>
              <w:autoSpaceDE/>
              <w:autoSpaceDN/>
              <w:adjustRightInd/>
              <w:ind w:left="720"/>
              <w:jc w:val="right"/>
            </w:pPr>
          </w:p>
        </w:tc>
        <w:tc>
          <w:tcPr>
            <w:tcW w:w="1620" w:type="dxa"/>
            <w:tcBorders>
              <w:top w:val="nil"/>
              <w:left w:val="nil"/>
              <w:bottom w:val="nil"/>
              <w:right w:val="nil"/>
            </w:tcBorders>
            <w:shd w:val="clear" w:color="auto" w:fill="auto"/>
            <w:noWrap/>
            <w:vAlign w:val="bottom"/>
          </w:tcPr>
          <w:p w14:paraId="422AEFB2" w14:textId="5D1D2AAF" w:rsidR="00753CD5" w:rsidRPr="00BA6F63" w:rsidRDefault="00753CD5" w:rsidP="00753CD5">
            <w:pPr>
              <w:autoSpaceDE/>
              <w:autoSpaceDN/>
              <w:adjustRightInd/>
              <w:ind w:left="705" w:right="-7"/>
              <w:jc w:val="right"/>
            </w:pPr>
            <w:r>
              <w:t>1</w:t>
            </w:r>
          </w:p>
        </w:tc>
      </w:tr>
      <w:tr w:rsidR="00753CD5" w:rsidRPr="0061112F" w14:paraId="4D741452" w14:textId="77777777" w:rsidTr="00F71D68">
        <w:trPr>
          <w:trHeight w:val="276"/>
        </w:trPr>
        <w:tc>
          <w:tcPr>
            <w:tcW w:w="4860" w:type="dxa"/>
            <w:tcBorders>
              <w:top w:val="nil"/>
              <w:left w:val="nil"/>
              <w:bottom w:val="nil"/>
              <w:right w:val="nil"/>
            </w:tcBorders>
            <w:shd w:val="clear" w:color="auto" w:fill="auto"/>
            <w:noWrap/>
            <w:vAlign w:val="bottom"/>
          </w:tcPr>
          <w:p w14:paraId="453B76C1" w14:textId="4A0C7782" w:rsidR="00753CD5" w:rsidRDefault="00753CD5" w:rsidP="00753CD5">
            <w:pPr>
              <w:autoSpaceDE/>
              <w:autoSpaceDN/>
              <w:adjustRightInd/>
              <w:ind w:left="144"/>
              <w:jc w:val="both"/>
            </w:pPr>
            <w:r>
              <w:t xml:space="preserve">Materials and supplies </w:t>
            </w:r>
          </w:p>
        </w:tc>
        <w:tc>
          <w:tcPr>
            <w:tcW w:w="1620" w:type="dxa"/>
            <w:tcBorders>
              <w:top w:val="nil"/>
              <w:left w:val="nil"/>
              <w:bottom w:val="nil"/>
              <w:right w:val="nil"/>
            </w:tcBorders>
            <w:shd w:val="clear" w:color="auto" w:fill="auto"/>
            <w:noWrap/>
            <w:vAlign w:val="bottom"/>
          </w:tcPr>
          <w:p w14:paraId="154792CC" w14:textId="651FB317" w:rsidR="00753CD5" w:rsidRPr="00BA6F63" w:rsidRDefault="00753CD5" w:rsidP="00753CD5">
            <w:pPr>
              <w:autoSpaceDE/>
              <w:autoSpaceDN/>
              <w:adjustRightInd/>
              <w:ind w:left="720"/>
              <w:jc w:val="right"/>
            </w:pPr>
            <w:r>
              <w:t>59</w:t>
            </w:r>
          </w:p>
        </w:tc>
        <w:tc>
          <w:tcPr>
            <w:tcW w:w="236" w:type="dxa"/>
            <w:tcBorders>
              <w:top w:val="nil"/>
              <w:left w:val="nil"/>
              <w:bottom w:val="nil"/>
              <w:right w:val="nil"/>
            </w:tcBorders>
            <w:shd w:val="clear" w:color="auto" w:fill="auto"/>
            <w:noWrap/>
            <w:vAlign w:val="bottom"/>
          </w:tcPr>
          <w:p w14:paraId="75D756ED" w14:textId="77777777" w:rsidR="00753CD5" w:rsidRPr="00BA6F63" w:rsidRDefault="00753CD5" w:rsidP="00753CD5">
            <w:pPr>
              <w:autoSpaceDE/>
              <w:autoSpaceDN/>
              <w:adjustRightInd/>
              <w:ind w:left="720"/>
              <w:jc w:val="right"/>
            </w:pPr>
          </w:p>
        </w:tc>
        <w:tc>
          <w:tcPr>
            <w:tcW w:w="1611" w:type="dxa"/>
            <w:gridSpan w:val="3"/>
            <w:tcBorders>
              <w:top w:val="nil"/>
              <w:left w:val="nil"/>
              <w:bottom w:val="nil"/>
              <w:right w:val="nil"/>
            </w:tcBorders>
            <w:vAlign w:val="bottom"/>
          </w:tcPr>
          <w:p w14:paraId="612EB27D" w14:textId="3B06FE90" w:rsidR="00753CD5" w:rsidRPr="00BA6F63" w:rsidRDefault="00753CD5" w:rsidP="00753CD5">
            <w:pPr>
              <w:autoSpaceDE/>
              <w:autoSpaceDN/>
              <w:adjustRightInd/>
              <w:jc w:val="right"/>
            </w:pPr>
            <w:r>
              <w:t>59</w:t>
            </w:r>
          </w:p>
        </w:tc>
        <w:tc>
          <w:tcPr>
            <w:tcW w:w="259" w:type="dxa"/>
            <w:gridSpan w:val="2"/>
            <w:tcBorders>
              <w:top w:val="nil"/>
              <w:left w:val="nil"/>
              <w:bottom w:val="nil"/>
              <w:right w:val="nil"/>
            </w:tcBorders>
          </w:tcPr>
          <w:p w14:paraId="578250EE" w14:textId="77777777" w:rsidR="00753CD5" w:rsidRPr="00BA6F63" w:rsidRDefault="00753CD5" w:rsidP="00753CD5">
            <w:pPr>
              <w:autoSpaceDE/>
              <w:autoSpaceDN/>
              <w:adjustRightInd/>
              <w:ind w:left="720"/>
              <w:jc w:val="right"/>
            </w:pPr>
          </w:p>
        </w:tc>
        <w:tc>
          <w:tcPr>
            <w:tcW w:w="1620" w:type="dxa"/>
            <w:tcBorders>
              <w:top w:val="nil"/>
              <w:left w:val="nil"/>
              <w:bottom w:val="nil"/>
              <w:right w:val="nil"/>
            </w:tcBorders>
            <w:shd w:val="clear" w:color="auto" w:fill="auto"/>
            <w:noWrap/>
            <w:vAlign w:val="bottom"/>
          </w:tcPr>
          <w:p w14:paraId="3D67AD67" w14:textId="6702DE38" w:rsidR="00753CD5" w:rsidRPr="00BA6F63" w:rsidRDefault="00753CD5" w:rsidP="00753CD5">
            <w:pPr>
              <w:autoSpaceDE/>
              <w:autoSpaceDN/>
              <w:adjustRightInd/>
              <w:ind w:left="705" w:right="-7"/>
              <w:jc w:val="right"/>
            </w:pPr>
            <w:r>
              <w:t>59</w:t>
            </w:r>
          </w:p>
        </w:tc>
      </w:tr>
      <w:tr w:rsidR="00753CD5" w:rsidRPr="0061112F" w14:paraId="1B1376E9" w14:textId="77777777" w:rsidTr="00F71D68">
        <w:trPr>
          <w:trHeight w:val="276"/>
        </w:trPr>
        <w:tc>
          <w:tcPr>
            <w:tcW w:w="4860" w:type="dxa"/>
            <w:tcBorders>
              <w:top w:val="nil"/>
              <w:left w:val="nil"/>
              <w:bottom w:val="nil"/>
              <w:right w:val="nil"/>
            </w:tcBorders>
            <w:shd w:val="clear" w:color="auto" w:fill="auto"/>
            <w:noWrap/>
            <w:vAlign w:val="bottom"/>
          </w:tcPr>
          <w:p w14:paraId="10B8FEF9" w14:textId="7B8FB90E" w:rsidR="00753CD5" w:rsidRDefault="00753CD5" w:rsidP="00753CD5">
            <w:pPr>
              <w:autoSpaceDE/>
              <w:autoSpaceDN/>
              <w:adjustRightInd/>
              <w:ind w:left="144"/>
              <w:jc w:val="both"/>
            </w:pPr>
          </w:p>
        </w:tc>
        <w:tc>
          <w:tcPr>
            <w:tcW w:w="1620" w:type="dxa"/>
            <w:tcBorders>
              <w:top w:val="nil"/>
              <w:left w:val="nil"/>
              <w:bottom w:val="nil"/>
              <w:right w:val="nil"/>
            </w:tcBorders>
            <w:shd w:val="clear" w:color="auto" w:fill="auto"/>
            <w:noWrap/>
            <w:vAlign w:val="bottom"/>
          </w:tcPr>
          <w:p w14:paraId="241A461D" w14:textId="53BB454C" w:rsidR="00753CD5" w:rsidRDefault="00753CD5" w:rsidP="00753CD5">
            <w:pPr>
              <w:autoSpaceDE/>
              <w:autoSpaceDN/>
              <w:adjustRightInd/>
              <w:ind w:left="720"/>
              <w:jc w:val="right"/>
            </w:pPr>
          </w:p>
        </w:tc>
        <w:tc>
          <w:tcPr>
            <w:tcW w:w="236" w:type="dxa"/>
            <w:tcBorders>
              <w:top w:val="nil"/>
              <w:left w:val="nil"/>
              <w:bottom w:val="nil"/>
              <w:right w:val="nil"/>
            </w:tcBorders>
            <w:shd w:val="clear" w:color="auto" w:fill="auto"/>
            <w:noWrap/>
            <w:vAlign w:val="bottom"/>
          </w:tcPr>
          <w:p w14:paraId="1F008E18" w14:textId="77777777" w:rsidR="00753CD5" w:rsidRPr="00BA6F63" w:rsidRDefault="00753CD5" w:rsidP="00753CD5">
            <w:pPr>
              <w:autoSpaceDE/>
              <w:autoSpaceDN/>
              <w:adjustRightInd/>
              <w:ind w:left="720"/>
              <w:jc w:val="right"/>
            </w:pPr>
          </w:p>
        </w:tc>
        <w:tc>
          <w:tcPr>
            <w:tcW w:w="1611" w:type="dxa"/>
            <w:gridSpan w:val="3"/>
            <w:tcBorders>
              <w:top w:val="nil"/>
              <w:left w:val="nil"/>
              <w:bottom w:val="nil"/>
              <w:right w:val="nil"/>
            </w:tcBorders>
            <w:vAlign w:val="bottom"/>
          </w:tcPr>
          <w:p w14:paraId="7357F419" w14:textId="525E4E26" w:rsidR="00753CD5" w:rsidRDefault="00753CD5" w:rsidP="00753CD5">
            <w:pPr>
              <w:autoSpaceDE/>
              <w:autoSpaceDN/>
              <w:adjustRightInd/>
              <w:jc w:val="right"/>
            </w:pPr>
          </w:p>
        </w:tc>
        <w:tc>
          <w:tcPr>
            <w:tcW w:w="259" w:type="dxa"/>
            <w:gridSpan w:val="2"/>
            <w:tcBorders>
              <w:top w:val="nil"/>
              <w:left w:val="nil"/>
              <w:bottom w:val="nil"/>
              <w:right w:val="nil"/>
            </w:tcBorders>
          </w:tcPr>
          <w:p w14:paraId="103C6AEE" w14:textId="77777777" w:rsidR="00753CD5" w:rsidRPr="00BA6F63" w:rsidRDefault="00753CD5" w:rsidP="00753CD5">
            <w:pPr>
              <w:autoSpaceDE/>
              <w:autoSpaceDN/>
              <w:adjustRightInd/>
              <w:ind w:left="720"/>
              <w:jc w:val="right"/>
            </w:pPr>
          </w:p>
        </w:tc>
        <w:tc>
          <w:tcPr>
            <w:tcW w:w="1620" w:type="dxa"/>
            <w:tcBorders>
              <w:top w:val="nil"/>
              <w:left w:val="nil"/>
              <w:bottom w:val="nil"/>
              <w:right w:val="nil"/>
            </w:tcBorders>
            <w:shd w:val="clear" w:color="auto" w:fill="auto"/>
            <w:noWrap/>
            <w:vAlign w:val="bottom"/>
          </w:tcPr>
          <w:p w14:paraId="78DEEC12" w14:textId="06E8E3F8" w:rsidR="00753CD5" w:rsidRDefault="00753CD5" w:rsidP="00753CD5">
            <w:pPr>
              <w:autoSpaceDE/>
              <w:autoSpaceDN/>
              <w:adjustRightInd/>
              <w:ind w:left="705" w:right="-7"/>
              <w:jc w:val="right"/>
            </w:pPr>
          </w:p>
        </w:tc>
      </w:tr>
      <w:tr w:rsidR="00753CD5" w:rsidRPr="0061112F" w14:paraId="0CBA2634" w14:textId="77777777" w:rsidTr="00F71D68">
        <w:trPr>
          <w:trHeight w:val="276"/>
        </w:trPr>
        <w:tc>
          <w:tcPr>
            <w:tcW w:w="4860" w:type="dxa"/>
            <w:tcBorders>
              <w:top w:val="nil"/>
              <w:left w:val="nil"/>
              <w:bottom w:val="nil"/>
              <w:right w:val="nil"/>
            </w:tcBorders>
            <w:shd w:val="clear" w:color="auto" w:fill="auto"/>
            <w:noWrap/>
            <w:vAlign w:val="bottom"/>
          </w:tcPr>
          <w:p w14:paraId="3EB906CA" w14:textId="47EF7B9C" w:rsidR="00753CD5" w:rsidRDefault="00753CD5" w:rsidP="00753CD5">
            <w:pPr>
              <w:autoSpaceDE/>
              <w:autoSpaceDN/>
              <w:adjustRightInd/>
              <w:ind w:left="144"/>
              <w:jc w:val="both"/>
            </w:pPr>
            <w:r>
              <w:t xml:space="preserve">Other current assets </w:t>
            </w:r>
          </w:p>
        </w:tc>
        <w:tc>
          <w:tcPr>
            <w:tcW w:w="1620" w:type="dxa"/>
            <w:tcBorders>
              <w:top w:val="nil"/>
              <w:left w:val="nil"/>
              <w:bottom w:val="nil"/>
              <w:right w:val="nil"/>
            </w:tcBorders>
            <w:shd w:val="clear" w:color="auto" w:fill="auto"/>
            <w:noWrap/>
            <w:vAlign w:val="bottom"/>
          </w:tcPr>
          <w:p w14:paraId="5B4648E0" w14:textId="60519E89" w:rsidR="00753CD5" w:rsidRPr="00BA6F63" w:rsidRDefault="00753CD5" w:rsidP="00753CD5">
            <w:pPr>
              <w:autoSpaceDE/>
              <w:autoSpaceDN/>
              <w:adjustRightInd/>
              <w:ind w:left="720"/>
              <w:jc w:val="right"/>
            </w:pPr>
            <w:r>
              <w:t>125</w:t>
            </w:r>
          </w:p>
        </w:tc>
        <w:tc>
          <w:tcPr>
            <w:tcW w:w="236" w:type="dxa"/>
            <w:tcBorders>
              <w:top w:val="nil"/>
              <w:left w:val="nil"/>
              <w:bottom w:val="nil"/>
              <w:right w:val="nil"/>
            </w:tcBorders>
            <w:shd w:val="clear" w:color="auto" w:fill="auto"/>
            <w:noWrap/>
            <w:vAlign w:val="bottom"/>
          </w:tcPr>
          <w:p w14:paraId="32669CE2" w14:textId="77777777" w:rsidR="00753CD5" w:rsidRPr="00BA6F63" w:rsidRDefault="00753CD5" w:rsidP="00753CD5">
            <w:pPr>
              <w:autoSpaceDE/>
              <w:autoSpaceDN/>
              <w:adjustRightInd/>
              <w:ind w:left="720"/>
              <w:jc w:val="right"/>
            </w:pPr>
          </w:p>
        </w:tc>
        <w:tc>
          <w:tcPr>
            <w:tcW w:w="1611" w:type="dxa"/>
            <w:gridSpan w:val="3"/>
            <w:tcBorders>
              <w:top w:val="nil"/>
              <w:left w:val="nil"/>
              <w:bottom w:val="nil"/>
              <w:right w:val="nil"/>
            </w:tcBorders>
            <w:vAlign w:val="bottom"/>
          </w:tcPr>
          <w:p w14:paraId="259D45F9" w14:textId="21188539" w:rsidR="00753CD5" w:rsidRPr="00BA6F63" w:rsidRDefault="00753CD5" w:rsidP="00753CD5">
            <w:pPr>
              <w:autoSpaceDE/>
              <w:autoSpaceDN/>
              <w:adjustRightInd/>
              <w:jc w:val="right"/>
            </w:pPr>
            <w:r>
              <w:t>150</w:t>
            </w:r>
          </w:p>
        </w:tc>
        <w:tc>
          <w:tcPr>
            <w:tcW w:w="259" w:type="dxa"/>
            <w:gridSpan w:val="2"/>
            <w:tcBorders>
              <w:top w:val="nil"/>
              <w:left w:val="nil"/>
              <w:bottom w:val="nil"/>
              <w:right w:val="nil"/>
            </w:tcBorders>
          </w:tcPr>
          <w:p w14:paraId="1D9219F5" w14:textId="6324838E" w:rsidR="00753CD5" w:rsidRPr="00BA6F63" w:rsidRDefault="00753CD5" w:rsidP="00753CD5">
            <w:pPr>
              <w:autoSpaceDE/>
              <w:autoSpaceDN/>
              <w:adjustRightInd/>
              <w:ind w:left="720"/>
              <w:jc w:val="right"/>
            </w:pPr>
          </w:p>
        </w:tc>
        <w:tc>
          <w:tcPr>
            <w:tcW w:w="1620" w:type="dxa"/>
            <w:tcBorders>
              <w:top w:val="nil"/>
              <w:left w:val="nil"/>
              <w:bottom w:val="nil"/>
              <w:right w:val="nil"/>
            </w:tcBorders>
            <w:shd w:val="clear" w:color="auto" w:fill="auto"/>
            <w:noWrap/>
            <w:vAlign w:val="bottom"/>
          </w:tcPr>
          <w:p w14:paraId="08FA7DD6" w14:textId="5CAC3387" w:rsidR="00753CD5" w:rsidRPr="00BA6F63" w:rsidRDefault="00753CD5" w:rsidP="00753CD5">
            <w:pPr>
              <w:autoSpaceDE/>
              <w:autoSpaceDN/>
              <w:adjustRightInd/>
              <w:ind w:left="705" w:right="-7"/>
              <w:jc w:val="right"/>
            </w:pPr>
            <w:r>
              <w:t>167</w:t>
            </w:r>
          </w:p>
        </w:tc>
      </w:tr>
      <w:tr w:rsidR="00753CD5" w:rsidRPr="0061112F" w14:paraId="7443934D" w14:textId="77777777" w:rsidTr="00F71D68">
        <w:trPr>
          <w:trHeight w:val="276"/>
        </w:trPr>
        <w:tc>
          <w:tcPr>
            <w:tcW w:w="4860" w:type="dxa"/>
            <w:tcBorders>
              <w:top w:val="nil"/>
              <w:left w:val="nil"/>
              <w:bottom w:val="nil"/>
              <w:right w:val="nil"/>
            </w:tcBorders>
            <w:shd w:val="clear" w:color="auto" w:fill="auto"/>
            <w:noWrap/>
            <w:vAlign w:val="bottom"/>
            <w:hideMark/>
          </w:tcPr>
          <w:p w14:paraId="40E8F74E" w14:textId="77777777" w:rsidR="00753CD5" w:rsidRPr="004B1A43" w:rsidRDefault="00753CD5" w:rsidP="00753CD5">
            <w:pPr>
              <w:autoSpaceDE/>
              <w:autoSpaceDN/>
              <w:adjustRightInd/>
              <w:ind w:left="288"/>
              <w:jc w:val="both"/>
            </w:pPr>
            <w:r w:rsidRPr="004B1A43">
              <w:t>Total Current Assets</w:t>
            </w:r>
          </w:p>
        </w:tc>
        <w:tc>
          <w:tcPr>
            <w:tcW w:w="1620" w:type="dxa"/>
            <w:tcBorders>
              <w:top w:val="single" w:sz="4" w:space="0" w:color="auto"/>
              <w:left w:val="nil"/>
              <w:bottom w:val="single" w:sz="4" w:space="0" w:color="auto"/>
              <w:right w:val="nil"/>
            </w:tcBorders>
            <w:shd w:val="clear" w:color="auto" w:fill="auto"/>
            <w:noWrap/>
            <w:vAlign w:val="bottom"/>
          </w:tcPr>
          <w:p w14:paraId="44643597" w14:textId="69DF0F33" w:rsidR="00753CD5" w:rsidRPr="00BA6F63" w:rsidRDefault="00753CD5" w:rsidP="00753CD5">
            <w:pPr>
              <w:autoSpaceDE/>
              <w:autoSpaceDN/>
              <w:adjustRightInd/>
              <w:jc w:val="right"/>
            </w:pPr>
            <w:r>
              <w:t>28,227</w:t>
            </w:r>
          </w:p>
        </w:tc>
        <w:tc>
          <w:tcPr>
            <w:tcW w:w="236" w:type="dxa"/>
            <w:tcBorders>
              <w:top w:val="nil"/>
              <w:left w:val="nil"/>
              <w:bottom w:val="nil"/>
              <w:right w:val="nil"/>
            </w:tcBorders>
            <w:shd w:val="clear" w:color="auto" w:fill="auto"/>
            <w:noWrap/>
            <w:vAlign w:val="bottom"/>
          </w:tcPr>
          <w:p w14:paraId="5368BBEB" w14:textId="77777777" w:rsidR="00753CD5" w:rsidRPr="00BA6F63" w:rsidRDefault="00753CD5" w:rsidP="00753CD5">
            <w:pPr>
              <w:autoSpaceDE/>
              <w:autoSpaceDN/>
              <w:adjustRightInd/>
              <w:ind w:left="720"/>
            </w:pPr>
          </w:p>
        </w:tc>
        <w:tc>
          <w:tcPr>
            <w:tcW w:w="1611" w:type="dxa"/>
            <w:gridSpan w:val="3"/>
            <w:tcBorders>
              <w:top w:val="single" w:sz="4" w:space="0" w:color="auto"/>
              <w:left w:val="nil"/>
              <w:bottom w:val="single" w:sz="4" w:space="0" w:color="auto"/>
              <w:right w:val="nil"/>
            </w:tcBorders>
            <w:vAlign w:val="bottom"/>
          </w:tcPr>
          <w:p w14:paraId="6261FE49" w14:textId="21E9A7BC" w:rsidR="00753CD5" w:rsidRPr="00BA6F63" w:rsidRDefault="00753CD5" w:rsidP="00753CD5">
            <w:pPr>
              <w:autoSpaceDE/>
              <w:autoSpaceDN/>
              <w:adjustRightInd/>
              <w:jc w:val="right"/>
            </w:pPr>
            <w:r>
              <w:t>29,926</w:t>
            </w:r>
          </w:p>
        </w:tc>
        <w:tc>
          <w:tcPr>
            <w:tcW w:w="259" w:type="dxa"/>
            <w:gridSpan w:val="2"/>
            <w:tcBorders>
              <w:left w:val="nil"/>
              <w:right w:val="nil"/>
            </w:tcBorders>
          </w:tcPr>
          <w:p w14:paraId="2E87C688" w14:textId="77777777" w:rsidR="00753CD5" w:rsidRPr="00BA6F63" w:rsidRDefault="00753CD5" w:rsidP="00753CD5">
            <w:pPr>
              <w:autoSpaceDE/>
              <w:autoSpaceDN/>
              <w:adjustRightInd/>
              <w:jc w:val="right"/>
            </w:pPr>
          </w:p>
        </w:tc>
        <w:tc>
          <w:tcPr>
            <w:tcW w:w="1620" w:type="dxa"/>
            <w:tcBorders>
              <w:top w:val="single" w:sz="4" w:space="0" w:color="auto"/>
              <w:left w:val="nil"/>
              <w:bottom w:val="single" w:sz="4" w:space="0" w:color="auto"/>
              <w:right w:val="nil"/>
            </w:tcBorders>
            <w:shd w:val="clear" w:color="auto" w:fill="auto"/>
            <w:noWrap/>
            <w:vAlign w:val="bottom"/>
          </w:tcPr>
          <w:p w14:paraId="73FE0CF2" w14:textId="16F501F0" w:rsidR="00753CD5" w:rsidRPr="00BA6F63" w:rsidRDefault="00753CD5" w:rsidP="00753CD5">
            <w:pPr>
              <w:autoSpaceDE/>
              <w:autoSpaceDN/>
              <w:adjustRightInd/>
              <w:jc w:val="right"/>
            </w:pPr>
            <w:r>
              <w:t>30,691</w:t>
            </w:r>
          </w:p>
        </w:tc>
      </w:tr>
      <w:tr w:rsidR="00753CD5" w:rsidRPr="0061112F" w14:paraId="42F497B9" w14:textId="77777777" w:rsidTr="00F71D68">
        <w:trPr>
          <w:trHeight w:val="143"/>
        </w:trPr>
        <w:tc>
          <w:tcPr>
            <w:tcW w:w="4860" w:type="dxa"/>
            <w:tcBorders>
              <w:top w:val="nil"/>
              <w:left w:val="nil"/>
              <w:bottom w:val="nil"/>
              <w:right w:val="nil"/>
            </w:tcBorders>
            <w:shd w:val="clear" w:color="auto" w:fill="auto"/>
            <w:noWrap/>
            <w:vAlign w:val="bottom"/>
            <w:hideMark/>
          </w:tcPr>
          <w:p w14:paraId="5F76E6AF" w14:textId="77777777" w:rsidR="00753CD5" w:rsidRPr="004B1A43" w:rsidRDefault="00753CD5" w:rsidP="00753CD5">
            <w:pPr>
              <w:autoSpaceDE/>
              <w:autoSpaceDN/>
              <w:adjustRightInd/>
              <w:ind w:left="720"/>
              <w:jc w:val="right"/>
            </w:pPr>
          </w:p>
        </w:tc>
        <w:tc>
          <w:tcPr>
            <w:tcW w:w="1620" w:type="dxa"/>
            <w:tcBorders>
              <w:top w:val="nil"/>
              <w:left w:val="nil"/>
              <w:bottom w:val="nil"/>
              <w:right w:val="nil"/>
            </w:tcBorders>
            <w:shd w:val="clear" w:color="auto" w:fill="auto"/>
            <w:noWrap/>
            <w:vAlign w:val="bottom"/>
          </w:tcPr>
          <w:p w14:paraId="6F7CAF33" w14:textId="77777777" w:rsidR="00753CD5" w:rsidRPr="00BA6F63" w:rsidRDefault="00753CD5" w:rsidP="00753CD5">
            <w:pPr>
              <w:autoSpaceDE/>
              <w:autoSpaceDN/>
              <w:adjustRightInd/>
              <w:ind w:left="720" w:firstLineChars="400" w:firstLine="960"/>
              <w:jc w:val="right"/>
            </w:pPr>
          </w:p>
        </w:tc>
        <w:tc>
          <w:tcPr>
            <w:tcW w:w="236" w:type="dxa"/>
            <w:tcBorders>
              <w:top w:val="nil"/>
              <w:left w:val="nil"/>
              <w:bottom w:val="nil"/>
              <w:right w:val="nil"/>
            </w:tcBorders>
            <w:shd w:val="clear" w:color="auto" w:fill="auto"/>
            <w:noWrap/>
            <w:vAlign w:val="bottom"/>
          </w:tcPr>
          <w:p w14:paraId="1D5A1963" w14:textId="77777777" w:rsidR="00753CD5" w:rsidRPr="00BA6F63" w:rsidRDefault="00753CD5" w:rsidP="00753CD5">
            <w:pPr>
              <w:autoSpaceDE/>
              <w:autoSpaceDN/>
              <w:adjustRightInd/>
              <w:ind w:left="720"/>
              <w:jc w:val="right"/>
            </w:pPr>
          </w:p>
        </w:tc>
        <w:tc>
          <w:tcPr>
            <w:tcW w:w="1611" w:type="dxa"/>
            <w:gridSpan w:val="3"/>
            <w:tcBorders>
              <w:top w:val="nil"/>
              <w:left w:val="nil"/>
              <w:bottom w:val="nil"/>
              <w:right w:val="nil"/>
            </w:tcBorders>
            <w:vAlign w:val="bottom"/>
          </w:tcPr>
          <w:p w14:paraId="6DAAD106" w14:textId="77777777" w:rsidR="00753CD5" w:rsidRPr="00BA6F63" w:rsidRDefault="00753CD5" w:rsidP="00753CD5">
            <w:pPr>
              <w:autoSpaceDE/>
              <w:autoSpaceDN/>
              <w:adjustRightInd/>
              <w:jc w:val="right"/>
            </w:pPr>
          </w:p>
        </w:tc>
        <w:tc>
          <w:tcPr>
            <w:tcW w:w="259" w:type="dxa"/>
            <w:gridSpan w:val="2"/>
            <w:tcBorders>
              <w:top w:val="nil"/>
              <w:left w:val="nil"/>
              <w:bottom w:val="nil"/>
              <w:right w:val="nil"/>
            </w:tcBorders>
          </w:tcPr>
          <w:p w14:paraId="624EE31A" w14:textId="77777777" w:rsidR="00753CD5" w:rsidRPr="00BA6F63" w:rsidRDefault="00753CD5" w:rsidP="00753CD5">
            <w:pPr>
              <w:autoSpaceDE/>
              <w:autoSpaceDN/>
              <w:adjustRightInd/>
              <w:ind w:left="720" w:firstLineChars="400" w:firstLine="960"/>
              <w:jc w:val="right"/>
            </w:pPr>
          </w:p>
        </w:tc>
        <w:tc>
          <w:tcPr>
            <w:tcW w:w="1620" w:type="dxa"/>
            <w:tcBorders>
              <w:top w:val="nil"/>
              <w:left w:val="nil"/>
              <w:bottom w:val="nil"/>
              <w:right w:val="nil"/>
            </w:tcBorders>
            <w:shd w:val="clear" w:color="auto" w:fill="auto"/>
            <w:noWrap/>
            <w:vAlign w:val="bottom"/>
          </w:tcPr>
          <w:p w14:paraId="248CA722" w14:textId="29D8194A" w:rsidR="00753CD5" w:rsidRPr="00BA6F63" w:rsidRDefault="00753CD5" w:rsidP="00753CD5">
            <w:pPr>
              <w:autoSpaceDE/>
              <w:autoSpaceDN/>
              <w:adjustRightInd/>
              <w:ind w:left="720" w:firstLineChars="400" w:firstLine="960"/>
              <w:jc w:val="right"/>
            </w:pPr>
          </w:p>
        </w:tc>
      </w:tr>
      <w:tr w:rsidR="00753CD5" w:rsidRPr="004B1A43" w14:paraId="40F26E25" w14:textId="77777777" w:rsidTr="00F71D68">
        <w:trPr>
          <w:trHeight w:val="276"/>
        </w:trPr>
        <w:tc>
          <w:tcPr>
            <w:tcW w:w="4860" w:type="dxa"/>
            <w:tcBorders>
              <w:top w:val="nil"/>
              <w:left w:val="nil"/>
              <w:bottom w:val="nil"/>
              <w:right w:val="nil"/>
            </w:tcBorders>
            <w:shd w:val="clear" w:color="auto" w:fill="auto"/>
            <w:noWrap/>
            <w:vAlign w:val="bottom"/>
            <w:hideMark/>
          </w:tcPr>
          <w:p w14:paraId="1F964E10" w14:textId="77777777" w:rsidR="00753CD5" w:rsidRPr="004B1A43" w:rsidRDefault="00753CD5" w:rsidP="00753CD5">
            <w:pPr>
              <w:autoSpaceDE/>
              <w:autoSpaceDN/>
              <w:adjustRightInd/>
            </w:pPr>
            <w:r>
              <w:t>Property, plant and equipment, net</w:t>
            </w:r>
          </w:p>
        </w:tc>
        <w:tc>
          <w:tcPr>
            <w:tcW w:w="1620" w:type="dxa"/>
            <w:tcBorders>
              <w:top w:val="nil"/>
              <w:left w:val="nil"/>
              <w:right w:val="nil"/>
            </w:tcBorders>
            <w:shd w:val="clear" w:color="auto" w:fill="auto"/>
            <w:noWrap/>
            <w:vAlign w:val="bottom"/>
          </w:tcPr>
          <w:p w14:paraId="643D7ECC" w14:textId="02102B5F" w:rsidR="00753CD5" w:rsidRPr="00BA6F63" w:rsidRDefault="00753CD5" w:rsidP="00753CD5">
            <w:pPr>
              <w:autoSpaceDE/>
              <w:autoSpaceDN/>
              <w:adjustRightInd/>
              <w:jc w:val="right"/>
            </w:pPr>
            <w:r>
              <w:t>4,633</w:t>
            </w:r>
          </w:p>
        </w:tc>
        <w:tc>
          <w:tcPr>
            <w:tcW w:w="236" w:type="dxa"/>
            <w:tcBorders>
              <w:top w:val="nil"/>
              <w:left w:val="nil"/>
              <w:right w:val="nil"/>
            </w:tcBorders>
            <w:shd w:val="clear" w:color="auto" w:fill="auto"/>
            <w:noWrap/>
            <w:vAlign w:val="bottom"/>
          </w:tcPr>
          <w:p w14:paraId="263640C9" w14:textId="77777777" w:rsidR="00753CD5" w:rsidRPr="00BA6F63" w:rsidRDefault="00753CD5" w:rsidP="00753CD5">
            <w:pPr>
              <w:autoSpaceDE/>
              <w:autoSpaceDN/>
              <w:adjustRightInd/>
              <w:jc w:val="right"/>
            </w:pPr>
          </w:p>
        </w:tc>
        <w:tc>
          <w:tcPr>
            <w:tcW w:w="1611" w:type="dxa"/>
            <w:gridSpan w:val="3"/>
            <w:tcBorders>
              <w:top w:val="nil"/>
              <w:left w:val="nil"/>
              <w:right w:val="nil"/>
            </w:tcBorders>
            <w:vAlign w:val="bottom"/>
          </w:tcPr>
          <w:p w14:paraId="0A602F59" w14:textId="76EA2A87" w:rsidR="00753CD5" w:rsidRPr="00BA6F63" w:rsidRDefault="00753CD5" w:rsidP="00753CD5">
            <w:pPr>
              <w:autoSpaceDE/>
              <w:autoSpaceDN/>
              <w:adjustRightInd/>
              <w:jc w:val="right"/>
            </w:pPr>
            <w:r>
              <w:t>4,615</w:t>
            </w:r>
          </w:p>
        </w:tc>
        <w:tc>
          <w:tcPr>
            <w:tcW w:w="259" w:type="dxa"/>
            <w:gridSpan w:val="2"/>
            <w:tcBorders>
              <w:top w:val="nil"/>
              <w:left w:val="nil"/>
              <w:right w:val="nil"/>
            </w:tcBorders>
          </w:tcPr>
          <w:p w14:paraId="27051205" w14:textId="77777777" w:rsidR="00753CD5" w:rsidRPr="00BA6F63" w:rsidRDefault="00753CD5" w:rsidP="00753CD5">
            <w:pPr>
              <w:autoSpaceDE/>
              <w:autoSpaceDN/>
              <w:adjustRightInd/>
              <w:jc w:val="right"/>
            </w:pPr>
          </w:p>
        </w:tc>
        <w:tc>
          <w:tcPr>
            <w:tcW w:w="1620" w:type="dxa"/>
            <w:tcBorders>
              <w:top w:val="nil"/>
              <w:left w:val="nil"/>
              <w:right w:val="nil"/>
            </w:tcBorders>
            <w:shd w:val="clear" w:color="auto" w:fill="auto"/>
            <w:noWrap/>
            <w:vAlign w:val="bottom"/>
          </w:tcPr>
          <w:p w14:paraId="0891157F" w14:textId="602468A6" w:rsidR="00753CD5" w:rsidRPr="00BA6F63" w:rsidRDefault="00753CD5" w:rsidP="00753CD5">
            <w:pPr>
              <w:autoSpaceDE/>
              <w:autoSpaceDN/>
              <w:adjustRightInd/>
              <w:jc w:val="right"/>
            </w:pPr>
            <w:r>
              <w:t>4,697</w:t>
            </w:r>
          </w:p>
        </w:tc>
      </w:tr>
      <w:tr w:rsidR="00753CD5" w:rsidRPr="004B1A43" w14:paraId="6214A549" w14:textId="77777777" w:rsidTr="00F71D68">
        <w:trPr>
          <w:trHeight w:val="276"/>
        </w:trPr>
        <w:tc>
          <w:tcPr>
            <w:tcW w:w="4860" w:type="dxa"/>
            <w:tcBorders>
              <w:top w:val="nil"/>
              <w:left w:val="nil"/>
              <w:bottom w:val="nil"/>
              <w:right w:val="nil"/>
            </w:tcBorders>
            <w:shd w:val="clear" w:color="auto" w:fill="auto"/>
            <w:noWrap/>
            <w:vAlign w:val="bottom"/>
          </w:tcPr>
          <w:p w14:paraId="3F476CF0" w14:textId="6AC739B5" w:rsidR="00753CD5" w:rsidRDefault="00753CD5" w:rsidP="00753CD5">
            <w:pPr>
              <w:autoSpaceDE/>
              <w:autoSpaceDN/>
              <w:adjustRightInd/>
            </w:pPr>
            <w:r>
              <w:t xml:space="preserve">      Accumulated depreciation</w:t>
            </w:r>
          </w:p>
        </w:tc>
        <w:tc>
          <w:tcPr>
            <w:tcW w:w="1620" w:type="dxa"/>
            <w:tcBorders>
              <w:top w:val="nil"/>
              <w:left w:val="nil"/>
              <w:bottom w:val="single" w:sz="4" w:space="0" w:color="auto"/>
              <w:right w:val="nil"/>
            </w:tcBorders>
            <w:shd w:val="clear" w:color="auto" w:fill="auto"/>
            <w:noWrap/>
            <w:vAlign w:val="bottom"/>
          </w:tcPr>
          <w:p w14:paraId="322B1532" w14:textId="5F612448" w:rsidR="00753CD5" w:rsidRDefault="00753CD5" w:rsidP="00753CD5">
            <w:pPr>
              <w:autoSpaceDE/>
              <w:autoSpaceDN/>
              <w:adjustRightInd/>
              <w:jc w:val="right"/>
            </w:pPr>
            <w:r>
              <w:t>(3,659)</w:t>
            </w:r>
          </w:p>
        </w:tc>
        <w:tc>
          <w:tcPr>
            <w:tcW w:w="236" w:type="dxa"/>
            <w:tcBorders>
              <w:top w:val="nil"/>
              <w:left w:val="nil"/>
              <w:bottom w:val="single" w:sz="4" w:space="0" w:color="auto"/>
              <w:right w:val="nil"/>
            </w:tcBorders>
            <w:shd w:val="clear" w:color="auto" w:fill="auto"/>
            <w:noWrap/>
            <w:vAlign w:val="bottom"/>
          </w:tcPr>
          <w:p w14:paraId="39D8E91E" w14:textId="77777777" w:rsidR="00753CD5" w:rsidRPr="00BA6F63" w:rsidRDefault="00753CD5" w:rsidP="00753CD5">
            <w:pPr>
              <w:autoSpaceDE/>
              <w:autoSpaceDN/>
              <w:adjustRightInd/>
              <w:jc w:val="right"/>
            </w:pPr>
          </w:p>
        </w:tc>
        <w:tc>
          <w:tcPr>
            <w:tcW w:w="1611" w:type="dxa"/>
            <w:gridSpan w:val="3"/>
            <w:tcBorders>
              <w:top w:val="nil"/>
              <w:left w:val="nil"/>
              <w:bottom w:val="single" w:sz="4" w:space="0" w:color="auto"/>
              <w:right w:val="nil"/>
            </w:tcBorders>
            <w:vAlign w:val="bottom"/>
          </w:tcPr>
          <w:p w14:paraId="51740874" w14:textId="08B1898C" w:rsidR="00753CD5" w:rsidRDefault="00753CD5" w:rsidP="00753CD5">
            <w:pPr>
              <w:autoSpaceDE/>
              <w:autoSpaceDN/>
              <w:adjustRightInd/>
              <w:jc w:val="right"/>
            </w:pPr>
            <w:r>
              <w:t>(3,468)</w:t>
            </w:r>
          </w:p>
        </w:tc>
        <w:tc>
          <w:tcPr>
            <w:tcW w:w="259" w:type="dxa"/>
            <w:gridSpan w:val="2"/>
            <w:tcBorders>
              <w:top w:val="nil"/>
              <w:left w:val="nil"/>
              <w:bottom w:val="single" w:sz="4" w:space="0" w:color="auto"/>
              <w:right w:val="nil"/>
            </w:tcBorders>
          </w:tcPr>
          <w:p w14:paraId="6B751AD6" w14:textId="77777777" w:rsidR="00753CD5" w:rsidRPr="00BA6F63" w:rsidRDefault="00753CD5" w:rsidP="00753CD5">
            <w:pPr>
              <w:autoSpaceDE/>
              <w:autoSpaceDN/>
              <w:adjustRightInd/>
              <w:jc w:val="right"/>
            </w:pPr>
          </w:p>
        </w:tc>
        <w:tc>
          <w:tcPr>
            <w:tcW w:w="1620" w:type="dxa"/>
            <w:tcBorders>
              <w:top w:val="nil"/>
              <w:left w:val="nil"/>
              <w:bottom w:val="single" w:sz="4" w:space="0" w:color="auto"/>
              <w:right w:val="nil"/>
            </w:tcBorders>
            <w:shd w:val="clear" w:color="auto" w:fill="auto"/>
            <w:noWrap/>
            <w:vAlign w:val="bottom"/>
          </w:tcPr>
          <w:p w14:paraId="069375A3" w14:textId="7CCC0388" w:rsidR="00753CD5" w:rsidRDefault="00753CD5" w:rsidP="00753CD5">
            <w:pPr>
              <w:autoSpaceDE/>
              <w:autoSpaceDN/>
              <w:adjustRightInd/>
              <w:jc w:val="right"/>
            </w:pPr>
            <w:r>
              <w:t>(3,532)</w:t>
            </w:r>
          </w:p>
        </w:tc>
      </w:tr>
      <w:tr w:rsidR="00753CD5" w:rsidRPr="004B1A43" w14:paraId="57C72849" w14:textId="77777777" w:rsidTr="00F71D68">
        <w:trPr>
          <w:trHeight w:val="315"/>
        </w:trPr>
        <w:tc>
          <w:tcPr>
            <w:tcW w:w="4860" w:type="dxa"/>
            <w:tcBorders>
              <w:top w:val="nil"/>
              <w:left w:val="nil"/>
              <w:bottom w:val="nil"/>
              <w:right w:val="nil"/>
            </w:tcBorders>
            <w:shd w:val="clear" w:color="auto" w:fill="auto"/>
            <w:noWrap/>
            <w:vAlign w:val="bottom"/>
          </w:tcPr>
          <w:p w14:paraId="4C3038DF" w14:textId="48AEB17F" w:rsidR="00753CD5" w:rsidRDefault="00753CD5" w:rsidP="00753CD5">
            <w:pPr>
              <w:autoSpaceDE/>
              <w:autoSpaceDN/>
              <w:adjustRightInd/>
            </w:pPr>
            <w:r>
              <w:t xml:space="preserve">               Net property, </w:t>
            </w:r>
            <w:proofErr w:type="gramStart"/>
            <w:r>
              <w:t>plant</w:t>
            </w:r>
            <w:proofErr w:type="gramEnd"/>
            <w:r>
              <w:t xml:space="preserve"> and equipment</w:t>
            </w:r>
          </w:p>
        </w:tc>
        <w:tc>
          <w:tcPr>
            <w:tcW w:w="1620" w:type="dxa"/>
            <w:tcBorders>
              <w:top w:val="single" w:sz="4" w:space="0" w:color="auto"/>
              <w:left w:val="nil"/>
              <w:right w:val="nil"/>
            </w:tcBorders>
            <w:shd w:val="clear" w:color="auto" w:fill="auto"/>
            <w:noWrap/>
            <w:vAlign w:val="bottom"/>
          </w:tcPr>
          <w:p w14:paraId="7102B26D" w14:textId="7D36BCAE" w:rsidR="00753CD5" w:rsidRDefault="00753CD5" w:rsidP="00753CD5">
            <w:pPr>
              <w:autoSpaceDE/>
              <w:autoSpaceDN/>
              <w:adjustRightInd/>
              <w:jc w:val="right"/>
            </w:pPr>
            <w:r>
              <w:t>974</w:t>
            </w:r>
          </w:p>
        </w:tc>
        <w:tc>
          <w:tcPr>
            <w:tcW w:w="236" w:type="dxa"/>
            <w:tcBorders>
              <w:top w:val="single" w:sz="4" w:space="0" w:color="auto"/>
              <w:left w:val="nil"/>
              <w:right w:val="nil"/>
            </w:tcBorders>
            <w:shd w:val="clear" w:color="auto" w:fill="auto"/>
            <w:noWrap/>
            <w:vAlign w:val="bottom"/>
          </w:tcPr>
          <w:p w14:paraId="0F8403A0" w14:textId="77777777" w:rsidR="00753CD5" w:rsidRPr="00BA6F63" w:rsidRDefault="00753CD5" w:rsidP="00753CD5">
            <w:pPr>
              <w:autoSpaceDE/>
              <w:autoSpaceDN/>
              <w:adjustRightInd/>
              <w:jc w:val="right"/>
            </w:pPr>
          </w:p>
        </w:tc>
        <w:tc>
          <w:tcPr>
            <w:tcW w:w="1611" w:type="dxa"/>
            <w:gridSpan w:val="3"/>
            <w:tcBorders>
              <w:top w:val="single" w:sz="4" w:space="0" w:color="auto"/>
              <w:left w:val="nil"/>
              <w:right w:val="nil"/>
            </w:tcBorders>
            <w:vAlign w:val="bottom"/>
          </w:tcPr>
          <w:p w14:paraId="568BC6B3" w14:textId="238FDA09" w:rsidR="00753CD5" w:rsidRDefault="00753CD5" w:rsidP="00753CD5">
            <w:pPr>
              <w:autoSpaceDE/>
              <w:autoSpaceDN/>
              <w:adjustRightInd/>
              <w:jc w:val="right"/>
            </w:pPr>
            <w:r>
              <w:t>1,147</w:t>
            </w:r>
          </w:p>
        </w:tc>
        <w:tc>
          <w:tcPr>
            <w:tcW w:w="259" w:type="dxa"/>
            <w:gridSpan w:val="2"/>
            <w:tcBorders>
              <w:top w:val="single" w:sz="4" w:space="0" w:color="auto"/>
              <w:left w:val="nil"/>
              <w:right w:val="nil"/>
            </w:tcBorders>
          </w:tcPr>
          <w:p w14:paraId="4B5295FF" w14:textId="77777777" w:rsidR="00753CD5" w:rsidRPr="00BA6F63" w:rsidRDefault="00753CD5" w:rsidP="00753CD5">
            <w:pPr>
              <w:autoSpaceDE/>
              <w:autoSpaceDN/>
              <w:adjustRightInd/>
              <w:jc w:val="right"/>
            </w:pPr>
          </w:p>
        </w:tc>
        <w:tc>
          <w:tcPr>
            <w:tcW w:w="1620" w:type="dxa"/>
            <w:tcBorders>
              <w:top w:val="single" w:sz="4" w:space="0" w:color="auto"/>
              <w:left w:val="nil"/>
              <w:right w:val="nil"/>
            </w:tcBorders>
            <w:shd w:val="clear" w:color="auto" w:fill="auto"/>
            <w:noWrap/>
            <w:vAlign w:val="bottom"/>
          </w:tcPr>
          <w:p w14:paraId="3A5130BA" w14:textId="5FC227AC" w:rsidR="00753CD5" w:rsidRDefault="00753CD5" w:rsidP="00753CD5">
            <w:pPr>
              <w:autoSpaceDE/>
              <w:autoSpaceDN/>
              <w:adjustRightInd/>
              <w:jc w:val="right"/>
            </w:pPr>
            <w:r>
              <w:t>1,165</w:t>
            </w:r>
          </w:p>
        </w:tc>
      </w:tr>
      <w:tr w:rsidR="00753CD5" w:rsidRPr="004B1A43" w14:paraId="0B633E55" w14:textId="77777777" w:rsidTr="00F71D68">
        <w:trPr>
          <w:trHeight w:val="242"/>
        </w:trPr>
        <w:tc>
          <w:tcPr>
            <w:tcW w:w="4860" w:type="dxa"/>
            <w:tcBorders>
              <w:top w:val="nil"/>
              <w:left w:val="nil"/>
              <w:bottom w:val="nil"/>
              <w:right w:val="nil"/>
            </w:tcBorders>
            <w:shd w:val="clear" w:color="auto" w:fill="auto"/>
            <w:noWrap/>
            <w:vAlign w:val="bottom"/>
          </w:tcPr>
          <w:p w14:paraId="6383D895" w14:textId="77777777" w:rsidR="00753CD5" w:rsidRDefault="00753CD5" w:rsidP="00753CD5">
            <w:pPr>
              <w:autoSpaceDE/>
              <w:autoSpaceDN/>
              <w:adjustRightInd/>
            </w:pPr>
          </w:p>
        </w:tc>
        <w:tc>
          <w:tcPr>
            <w:tcW w:w="1620" w:type="dxa"/>
            <w:tcBorders>
              <w:top w:val="single" w:sz="4" w:space="0" w:color="auto"/>
              <w:left w:val="nil"/>
              <w:right w:val="nil"/>
            </w:tcBorders>
            <w:shd w:val="clear" w:color="auto" w:fill="auto"/>
            <w:noWrap/>
            <w:vAlign w:val="bottom"/>
          </w:tcPr>
          <w:p w14:paraId="5418AAFD" w14:textId="56A14C45" w:rsidR="00753CD5" w:rsidRDefault="00753CD5" w:rsidP="00753CD5">
            <w:pPr>
              <w:autoSpaceDE/>
              <w:autoSpaceDN/>
              <w:adjustRightInd/>
              <w:jc w:val="right"/>
            </w:pPr>
          </w:p>
        </w:tc>
        <w:tc>
          <w:tcPr>
            <w:tcW w:w="236" w:type="dxa"/>
            <w:tcBorders>
              <w:top w:val="single" w:sz="4" w:space="0" w:color="auto"/>
              <w:left w:val="nil"/>
              <w:right w:val="nil"/>
            </w:tcBorders>
            <w:shd w:val="clear" w:color="auto" w:fill="auto"/>
            <w:noWrap/>
            <w:vAlign w:val="bottom"/>
          </w:tcPr>
          <w:p w14:paraId="5164841A" w14:textId="77777777" w:rsidR="00753CD5" w:rsidRPr="00BA6F63" w:rsidRDefault="00753CD5" w:rsidP="00753CD5">
            <w:pPr>
              <w:autoSpaceDE/>
              <w:autoSpaceDN/>
              <w:adjustRightInd/>
              <w:jc w:val="right"/>
            </w:pPr>
          </w:p>
        </w:tc>
        <w:tc>
          <w:tcPr>
            <w:tcW w:w="1611" w:type="dxa"/>
            <w:gridSpan w:val="3"/>
            <w:tcBorders>
              <w:top w:val="single" w:sz="4" w:space="0" w:color="auto"/>
              <w:left w:val="nil"/>
              <w:right w:val="nil"/>
            </w:tcBorders>
            <w:vAlign w:val="bottom"/>
          </w:tcPr>
          <w:p w14:paraId="182CAB45" w14:textId="77777777" w:rsidR="00753CD5" w:rsidRDefault="00753CD5" w:rsidP="00753CD5">
            <w:pPr>
              <w:autoSpaceDE/>
              <w:autoSpaceDN/>
              <w:adjustRightInd/>
              <w:jc w:val="right"/>
            </w:pPr>
          </w:p>
        </w:tc>
        <w:tc>
          <w:tcPr>
            <w:tcW w:w="259" w:type="dxa"/>
            <w:gridSpan w:val="2"/>
            <w:tcBorders>
              <w:top w:val="single" w:sz="4" w:space="0" w:color="auto"/>
              <w:left w:val="nil"/>
              <w:right w:val="nil"/>
            </w:tcBorders>
          </w:tcPr>
          <w:p w14:paraId="04B33708" w14:textId="77777777" w:rsidR="00753CD5" w:rsidRPr="00BA6F63" w:rsidRDefault="00753CD5" w:rsidP="00753CD5">
            <w:pPr>
              <w:autoSpaceDE/>
              <w:autoSpaceDN/>
              <w:adjustRightInd/>
              <w:jc w:val="right"/>
            </w:pPr>
          </w:p>
        </w:tc>
        <w:tc>
          <w:tcPr>
            <w:tcW w:w="1620" w:type="dxa"/>
            <w:tcBorders>
              <w:top w:val="single" w:sz="4" w:space="0" w:color="auto"/>
              <w:left w:val="nil"/>
              <w:right w:val="nil"/>
            </w:tcBorders>
            <w:shd w:val="clear" w:color="auto" w:fill="auto"/>
            <w:noWrap/>
            <w:vAlign w:val="bottom"/>
          </w:tcPr>
          <w:p w14:paraId="6A52F3E3" w14:textId="77777777" w:rsidR="00753CD5" w:rsidRDefault="00753CD5" w:rsidP="00753CD5">
            <w:pPr>
              <w:autoSpaceDE/>
              <w:autoSpaceDN/>
              <w:adjustRightInd/>
              <w:jc w:val="right"/>
            </w:pPr>
          </w:p>
        </w:tc>
      </w:tr>
      <w:tr w:rsidR="00753CD5" w:rsidRPr="004B1A43" w14:paraId="0F85D226" w14:textId="77777777" w:rsidTr="00F71D68">
        <w:trPr>
          <w:trHeight w:val="315"/>
        </w:trPr>
        <w:tc>
          <w:tcPr>
            <w:tcW w:w="4860" w:type="dxa"/>
            <w:tcBorders>
              <w:top w:val="nil"/>
              <w:left w:val="nil"/>
              <w:bottom w:val="nil"/>
              <w:right w:val="nil"/>
            </w:tcBorders>
            <w:shd w:val="clear" w:color="auto" w:fill="auto"/>
            <w:noWrap/>
            <w:vAlign w:val="bottom"/>
            <w:hideMark/>
          </w:tcPr>
          <w:p w14:paraId="58FB8287" w14:textId="648FB7F9" w:rsidR="00753CD5" w:rsidRPr="004B1A43" w:rsidRDefault="00753CD5" w:rsidP="00753CD5">
            <w:pPr>
              <w:autoSpaceDE/>
              <w:autoSpaceDN/>
              <w:adjustRightInd/>
            </w:pPr>
            <w:r>
              <w:t xml:space="preserve">Goodwill </w:t>
            </w:r>
          </w:p>
        </w:tc>
        <w:tc>
          <w:tcPr>
            <w:tcW w:w="1620" w:type="dxa"/>
            <w:tcBorders>
              <w:top w:val="nil"/>
              <w:left w:val="nil"/>
              <w:right w:val="nil"/>
            </w:tcBorders>
            <w:shd w:val="clear" w:color="auto" w:fill="auto"/>
            <w:noWrap/>
            <w:vAlign w:val="bottom"/>
          </w:tcPr>
          <w:p w14:paraId="43CB5879" w14:textId="26FAD78B" w:rsidR="00753CD5" w:rsidRPr="00BA6F63" w:rsidRDefault="00753CD5" w:rsidP="00753CD5">
            <w:pPr>
              <w:autoSpaceDE/>
              <w:autoSpaceDN/>
              <w:adjustRightInd/>
              <w:jc w:val="right"/>
            </w:pPr>
            <w:r>
              <w:t>337</w:t>
            </w:r>
          </w:p>
        </w:tc>
        <w:tc>
          <w:tcPr>
            <w:tcW w:w="236" w:type="dxa"/>
            <w:tcBorders>
              <w:top w:val="nil"/>
              <w:left w:val="nil"/>
              <w:right w:val="nil"/>
            </w:tcBorders>
            <w:shd w:val="clear" w:color="auto" w:fill="auto"/>
            <w:noWrap/>
            <w:vAlign w:val="bottom"/>
          </w:tcPr>
          <w:p w14:paraId="6B0DF538" w14:textId="47BC1160" w:rsidR="00753CD5" w:rsidRPr="00BA6F63" w:rsidRDefault="00753CD5" w:rsidP="00753CD5">
            <w:pPr>
              <w:autoSpaceDE/>
              <w:autoSpaceDN/>
              <w:adjustRightInd/>
              <w:jc w:val="right"/>
            </w:pPr>
          </w:p>
        </w:tc>
        <w:tc>
          <w:tcPr>
            <w:tcW w:w="1611" w:type="dxa"/>
            <w:gridSpan w:val="3"/>
            <w:tcBorders>
              <w:top w:val="nil"/>
              <w:left w:val="nil"/>
              <w:right w:val="nil"/>
            </w:tcBorders>
            <w:vAlign w:val="bottom"/>
          </w:tcPr>
          <w:p w14:paraId="11854854" w14:textId="3AD3EF29" w:rsidR="00753CD5" w:rsidRPr="00BA6F63" w:rsidRDefault="00753CD5" w:rsidP="00753CD5">
            <w:pPr>
              <w:autoSpaceDE/>
              <w:autoSpaceDN/>
              <w:adjustRightInd/>
              <w:jc w:val="right"/>
            </w:pPr>
            <w:r>
              <w:t>337</w:t>
            </w:r>
          </w:p>
        </w:tc>
        <w:tc>
          <w:tcPr>
            <w:tcW w:w="259" w:type="dxa"/>
            <w:gridSpan w:val="2"/>
            <w:tcBorders>
              <w:top w:val="nil"/>
              <w:left w:val="nil"/>
              <w:right w:val="nil"/>
            </w:tcBorders>
          </w:tcPr>
          <w:p w14:paraId="4134700B" w14:textId="77777777" w:rsidR="00753CD5" w:rsidRPr="00BA6F63" w:rsidRDefault="00753CD5" w:rsidP="00753CD5">
            <w:pPr>
              <w:autoSpaceDE/>
              <w:autoSpaceDN/>
              <w:adjustRightInd/>
              <w:jc w:val="right"/>
            </w:pPr>
          </w:p>
        </w:tc>
        <w:tc>
          <w:tcPr>
            <w:tcW w:w="1620" w:type="dxa"/>
            <w:tcBorders>
              <w:top w:val="nil"/>
              <w:left w:val="nil"/>
              <w:right w:val="nil"/>
            </w:tcBorders>
            <w:shd w:val="clear" w:color="auto" w:fill="auto"/>
            <w:noWrap/>
            <w:vAlign w:val="bottom"/>
          </w:tcPr>
          <w:p w14:paraId="13BB3250" w14:textId="5660314D" w:rsidR="00753CD5" w:rsidRPr="00BA6F63" w:rsidRDefault="00753CD5" w:rsidP="00753CD5">
            <w:pPr>
              <w:autoSpaceDE/>
              <w:autoSpaceDN/>
              <w:adjustRightInd/>
              <w:jc w:val="right"/>
            </w:pPr>
            <w:r>
              <w:t>405</w:t>
            </w:r>
          </w:p>
        </w:tc>
      </w:tr>
      <w:tr w:rsidR="00753CD5" w:rsidRPr="004B1A43" w14:paraId="5EF49D39" w14:textId="77777777" w:rsidTr="00F71D68">
        <w:trPr>
          <w:trHeight w:val="315"/>
        </w:trPr>
        <w:tc>
          <w:tcPr>
            <w:tcW w:w="4860" w:type="dxa"/>
            <w:tcBorders>
              <w:top w:val="nil"/>
              <w:left w:val="nil"/>
              <w:bottom w:val="nil"/>
              <w:right w:val="nil"/>
            </w:tcBorders>
            <w:shd w:val="clear" w:color="auto" w:fill="auto"/>
            <w:noWrap/>
            <w:vAlign w:val="bottom"/>
          </w:tcPr>
          <w:p w14:paraId="262EAB8C" w14:textId="2CCC2CD3" w:rsidR="00753CD5" w:rsidRDefault="00753CD5" w:rsidP="00753CD5">
            <w:pPr>
              <w:autoSpaceDE/>
              <w:autoSpaceDN/>
              <w:adjustRightInd/>
            </w:pPr>
            <w:r>
              <w:t>Other intangibles, net</w:t>
            </w:r>
          </w:p>
        </w:tc>
        <w:tc>
          <w:tcPr>
            <w:tcW w:w="1620" w:type="dxa"/>
            <w:tcBorders>
              <w:top w:val="nil"/>
              <w:left w:val="nil"/>
              <w:right w:val="nil"/>
            </w:tcBorders>
            <w:shd w:val="clear" w:color="auto" w:fill="auto"/>
            <w:noWrap/>
            <w:vAlign w:val="bottom"/>
          </w:tcPr>
          <w:p w14:paraId="6777DCB1" w14:textId="28063A60" w:rsidR="00753CD5" w:rsidRPr="00BA6F63" w:rsidRDefault="00753CD5" w:rsidP="00753CD5">
            <w:pPr>
              <w:autoSpaceDE/>
              <w:autoSpaceDN/>
              <w:adjustRightInd/>
              <w:jc w:val="right"/>
            </w:pPr>
            <w:r>
              <w:t>58</w:t>
            </w:r>
          </w:p>
        </w:tc>
        <w:tc>
          <w:tcPr>
            <w:tcW w:w="236" w:type="dxa"/>
            <w:tcBorders>
              <w:top w:val="nil"/>
              <w:left w:val="nil"/>
              <w:right w:val="nil"/>
            </w:tcBorders>
            <w:shd w:val="clear" w:color="auto" w:fill="auto"/>
            <w:noWrap/>
            <w:vAlign w:val="bottom"/>
          </w:tcPr>
          <w:p w14:paraId="7C5A7366" w14:textId="77777777" w:rsidR="00753CD5" w:rsidRPr="00BA6F63" w:rsidRDefault="00753CD5" w:rsidP="00753CD5">
            <w:pPr>
              <w:autoSpaceDE/>
              <w:autoSpaceDN/>
              <w:adjustRightInd/>
              <w:jc w:val="right"/>
            </w:pPr>
          </w:p>
        </w:tc>
        <w:tc>
          <w:tcPr>
            <w:tcW w:w="1611" w:type="dxa"/>
            <w:gridSpan w:val="3"/>
            <w:tcBorders>
              <w:top w:val="nil"/>
              <w:left w:val="nil"/>
              <w:right w:val="nil"/>
            </w:tcBorders>
            <w:vAlign w:val="bottom"/>
          </w:tcPr>
          <w:p w14:paraId="350A0EFC" w14:textId="4C8DFD77" w:rsidR="00753CD5" w:rsidRPr="00BA6F63" w:rsidRDefault="00753CD5" w:rsidP="00753CD5">
            <w:pPr>
              <w:autoSpaceDE/>
              <w:autoSpaceDN/>
              <w:adjustRightInd/>
              <w:jc w:val="right"/>
            </w:pPr>
            <w:r>
              <w:t>63</w:t>
            </w:r>
          </w:p>
        </w:tc>
        <w:tc>
          <w:tcPr>
            <w:tcW w:w="259" w:type="dxa"/>
            <w:gridSpan w:val="2"/>
            <w:tcBorders>
              <w:top w:val="nil"/>
              <w:left w:val="nil"/>
              <w:right w:val="nil"/>
            </w:tcBorders>
          </w:tcPr>
          <w:p w14:paraId="5DEDA7FF" w14:textId="77777777" w:rsidR="00753CD5" w:rsidRPr="00BA6F63" w:rsidRDefault="00753CD5" w:rsidP="00753CD5">
            <w:pPr>
              <w:autoSpaceDE/>
              <w:autoSpaceDN/>
              <w:adjustRightInd/>
              <w:jc w:val="right"/>
            </w:pPr>
          </w:p>
        </w:tc>
        <w:tc>
          <w:tcPr>
            <w:tcW w:w="1620" w:type="dxa"/>
            <w:tcBorders>
              <w:top w:val="nil"/>
              <w:left w:val="nil"/>
              <w:right w:val="nil"/>
            </w:tcBorders>
            <w:shd w:val="clear" w:color="auto" w:fill="auto"/>
            <w:noWrap/>
            <w:vAlign w:val="bottom"/>
          </w:tcPr>
          <w:p w14:paraId="0152C24C" w14:textId="78F15043" w:rsidR="00753CD5" w:rsidRPr="00BA6F63" w:rsidRDefault="00753CD5" w:rsidP="00753CD5">
            <w:pPr>
              <w:autoSpaceDE/>
              <w:autoSpaceDN/>
              <w:adjustRightInd/>
              <w:jc w:val="right"/>
            </w:pPr>
            <w:r>
              <w:t>--</w:t>
            </w:r>
          </w:p>
        </w:tc>
      </w:tr>
      <w:tr w:rsidR="00753CD5" w:rsidRPr="0061112F" w14:paraId="263CB2DF" w14:textId="77777777" w:rsidTr="00F71D68">
        <w:trPr>
          <w:trHeight w:val="276"/>
        </w:trPr>
        <w:tc>
          <w:tcPr>
            <w:tcW w:w="4860" w:type="dxa"/>
            <w:tcBorders>
              <w:top w:val="nil"/>
              <w:left w:val="nil"/>
              <w:bottom w:val="nil"/>
              <w:right w:val="nil"/>
            </w:tcBorders>
            <w:shd w:val="clear" w:color="auto" w:fill="auto"/>
            <w:noWrap/>
            <w:vAlign w:val="bottom"/>
            <w:hideMark/>
          </w:tcPr>
          <w:p w14:paraId="6190AE45" w14:textId="7261EE4E" w:rsidR="00753CD5" w:rsidRPr="004B1A43" w:rsidRDefault="00753CD5" w:rsidP="00753CD5">
            <w:pPr>
              <w:autoSpaceDE/>
              <w:autoSpaceDN/>
              <w:adjustRightInd/>
              <w:jc w:val="both"/>
            </w:pPr>
            <w:r w:rsidRPr="004B1A43">
              <w:t>Other investments</w:t>
            </w:r>
          </w:p>
        </w:tc>
        <w:tc>
          <w:tcPr>
            <w:tcW w:w="1620" w:type="dxa"/>
            <w:tcBorders>
              <w:top w:val="nil"/>
              <w:left w:val="nil"/>
              <w:bottom w:val="nil"/>
              <w:right w:val="nil"/>
            </w:tcBorders>
            <w:shd w:val="clear" w:color="auto" w:fill="auto"/>
            <w:noWrap/>
            <w:vAlign w:val="bottom"/>
          </w:tcPr>
          <w:p w14:paraId="067A804F" w14:textId="4A4A0576" w:rsidR="00753CD5" w:rsidRPr="00BA6F63" w:rsidRDefault="00753CD5" w:rsidP="00753CD5">
            <w:pPr>
              <w:autoSpaceDE/>
              <w:autoSpaceDN/>
              <w:adjustRightInd/>
              <w:jc w:val="right"/>
            </w:pPr>
            <w:r>
              <w:t>100</w:t>
            </w:r>
          </w:p>
        </w:tc>
        <w:tc>
          <w:tcPr>
            <w:tcW w:w="236" w:type="dxa"/>
            <w:tcBorders>
              <w:top w:val="nil"/>
              <w:left w:val="nil"/>
              <w:right w:val="nil"/>
            </w:tcBorders>
            <w:shd w:val="clear" w:color="auto" w:fill="auto"/>
            <w:noWrap/>
            <w:vAlign w:val="bottom"/>
          </w:tcPr>
          <w:p w14:paraId="2499181D" w14:textId="77777777" w:rsidR="00753CD5" w:rsidRPr="00BA6F63" w:rsidRDefault="00753CD5" w:rsidP="00753CD5">
            <w:pPr>
              <w:autoSpaceDE/>
              <w:autoSpaceDN/>
              <w:adjustRightInd/>
              <w:jc w:val="right"/>
            </w:pPr>
          </w:p>
        </w:tc>
        <w:tc>
          <w:tcPr>
            <w:tcW w:w="1611" w:type="dxa"/>
            <w:gridSpan w:val="3"/>
            <w:tcBorders>
              <w:top w:val="nil"/>
              <w:left w:val="nil"/>
              <w:right w:val="nil"/>
            </w:tcBorders>
            <w:vAlign w:val="bottom"/>
          </w:tcPr>
          <w:p w14:paraId="2065964F" w14:textId="19959B74" w:rsidR="00753CD5" w:rsidRPr="00BA6F63" w:rsidRDefault="00753CD5" w:rsidP="00753CD5">
            <w:pPr>
              <w:autoSpaceDE/>
              <w:autoSpaceDN/>
              <w:adjustRightInd/>
              <w:jc w:val="right"/>
            </w:pPr>
            <w:r>
              <w:t>100</w:t>
            </w:r>
          </w:p>
        </w:tc>
        <w:tc>
          <w:tcPr>
            <w:tcW w:w="259" w:type="dxa"/>
            <w:gridSpan w:val="2"/>
            <w:tcBorders>
              <w:top w:val="nil"/>
              <w:left w:val="nil"/>
              <w:right w:val="nil"/>
            </w:tcBorders>
          </w:tcPr>
          <w:p w14:paraId="2380BD42" w14:textId="77777777" w:rsidR="00753CD5" w:rsidRPr="00BA6F63" w:rsidRDefault="00753CD5" w:rsidP="00753CD5">
            <w:pPr>
              <w:autoSpaceDE/>
              <w:autoSpaceDN/>
              <w:adjustRightInd/>
              <w:jc w:val="right"/>
            </w:pPr>
          </w:p>
        </w:tc>
        <w:tc>
          <w:tcPr>
            <w:tcW w:w="1620" w:type="dxa"/>
            <w:tcBorders>
              <w:top w:val="nil"/>
              <w:left w:val="nil"/>
              <w:bottom w:val="nil"/>
              <w:right w:val="nil"/>
            </w:tcBorders>
            <w:shd w:val="clear" w:color="auto" w:fill="auto"/>
            <w:noWrap/>
            <w:vAlign w:val="bottom"/>
          </w:tcPr>
          <w:p w14:paraId="203ED9F8" w14:textId="272F2B0A" w:rsidR="00753CD5" w:rsidRPr="00BA6F63" w:rsidRDefault="00753CD5" w:rsidP="00753CD5">
            <w:pPr>
              <w:autoSpaceDE/>
              <w:autoSpaceDN/>
              <w:adjustRightInd/>
              <w:jc w:val="right"/>
            </w:pPr>
            <w:r>
              <w:t>100</w:t>
            </w:r>
          </w:p>
        </w:tc>
      </w:tr>
      <w:tr w:rsidR="00753CD5" w:rsidRPr="0061112F" w14:paraId="6B4035E0" w14:textId="77777777" w:rsidTr="00F71D68">
        <w:trPr>
          <w:trHeight w:val="276"/>
        </w:trPr>
        <w:tc>
          <w:tcPr>
            <w:tcW w:w="4860" w:type="dxa"/>
            <w:tcBorders>
              <w:top w:val="nil"/>
              <w:left w:val="nil"/>
              <w:bottom w:val="nil"/>
              <w:right w:val="nil"/>
            </w:tcBorders>
            <w:shd w:val="clear" w:color="auto" w:fill="auto"/>
            <w:noWrap/>
            <w:vAlign w:val="bottom"/>
            <w:hideMark/>
          </w:tcPr>
          <w:p w14:paraId="01A6DC33" w14:textId="44BB1BB6" w:rsidR="00753CD5" w:rsidRPr="004B1A43" w:rsidRDefault="00753CD5" w:rsidP="00753CD5">
            <w:pPr>
              <w:autoSpaceDE/>
              <w:autoSpaceDN/>
              <w:adjustRightInd/>
              <w:jc w:val="both"/>
            </w:pPr>
            <w:r>
              <w:t xml:space="preserve">Other assets </w:t>
            </w:r>
          </w:p>
        </w:tc>
        <w:tc>
          <w:tcPr>
            <w:tcW w:w="1620" w:type="dxa"/>
            <w:tcBorders>
              <w:top w:val="nil"/>
              <w:left w:val="nil"/>
              <w:bottom w:val="single" w:sz="4" w:space="0" w:color="auto"/>
              <w:right w:val="nil"/>
            </w:tcBorders>
            <w:shd w:val="clear" w:color="auto" w:fill="auto"/>
            <w:noWrap/>
            <w:vAlign w:val="bottom"/>
          </w:tcPr>
          <w:p w14:paraId="795A3311" w14:textId="31EC369C" w:rsidR="00753CD5" w:rsidRPr="00BA6F63" w:rsidRDefault="00753CD5" w:rsidP="00753CD5">
            <w:pPr>
              <w:autoSpaceDE/>
              <w:autoSpaceDN/>
              <w:adjustRightInd/>
              <w:jc w:val="right"/>
            </w:pPr>
            <w:r>
              <w:t>119</w:t>
            </w:r>
          </w:p>
        </w:tc>
        <w:tc>
          <w:tcPr>
            <w:tcW w:w="236" w:type="dxa"/>
            <w:tcBorders>
              <w:top w:val="nil"/>
              <w:left w:val="nil"/>
              <w:right w:val="nil"/>
            </w:tcBorders>
            <w:shd w:val="clear" w:color="auto" w:fill="auto"/>
            <w:noWrap/>
            <w:vAlign w:val="bottom"/>
          </w:tcPr>
          <w:p w14:paraId="14660944" w14:textId="44A6DB8A" w:rsidR="00753CD5" w:rsidRPr="00BA6F63" w:rsidRDefault="00753CD5" w:rsidP="00753CD5">
            <w:pPr>
              <w:autoSpaceDE/>
              <w:autoSpaceDN/>
              <w:adjustRightInd/>
              <w:jc w:val="right"/>
            </w:pPr>
          </w:p>
        </w:tc>
        <w:tc>
          <w:tcPr>
            <w:tcW w:w="1611" w:type="dxa"/>
            <w:gridSpan w:val="3"/>
            <w:tcBorders>
              <w:top w:val="nil"/>
              <w:left w:val="nil"/>
              <w:bottom w:val="single" w:sz="4" w:space="0" w:color="auto"/>
              <w:right w:val="nil"/>
            </w:tcBorders>
            <w:vAlign w:val="bottom"/>
          </w:tcPr>
          <w:p w14:paraId="73425B3B" w14:textId="52A930E7" w:rsidR="00753CD5" w:rsidRPr="00BA6F63" w:rsidRDefault="00753CD5" w:rsidP="00753CD5">
            <w:pPr>
              <w:autoSpaceDE/>
              <w:autoSpaceDN/>
              <w:adjustRightInd/>
              <w:jc w:val="right"/>
            </w:pPr>
            <w:r>
              <w:t>119</w:t>
            </w:r>
          </w:p>
        </w:tc>
        <w:tc>
          <w:tcPr>
            <w:tcW w:w="259" w:type="dxa"/>
            <w:gridSpan w:val="2"/>
            <w:tcBorders>
              <w:top w:val="nil"/>
              <w:left w:val="nil"/>
              <w:right w:val="nil"/>
            </w:tcBorders>
          </w:tcPr>
          <w:p w14:paraId="3FDDFFD3" w14:textId="77777777" w:rsidR="00753CD5" w:rsidRPr="00BA6F63" w:rsidRDefault="00753CD5" w:rsidP="00753CD5">
            <w:pPr>
              <w:autoSpaceDE/>
              <w:autoSpaceDN/>
              <w:adjustRightInd/>
              <w:jc w:val="right"/>
            </w:pPr>
          </w:p>
        </w:tc>
        <w:tc>
          <w:tcPr>
            <w:tcW w:w="1620" w:type="dxa"/>
            <w:tcBorders>
              <w:top w:val="nil"/>
              <w:left w:val="nil"/>
              <w:bottom w:val="single" w:sz="4" w:space="0" w:color="auto"/>
              <w:right w:val="nil"/>
            </w:tcBorders>
            <w:shd w:val="clear" w:color="auto" w:fill="auto"/>
            <w:noWrap/>
            <w:vAlign w:val="bottom"/>
          </w:tcPr>
          <w:p w14:paraId="297E3EE9" w14:textId="4744545A" w:rsidR="00753CD5" w:rsidRPr="00BA6F63" w:rsidRDefault="00753CD5" w:rsidP="00753CD5">
            <w:pPr>
              <w:autoSpaceDE/>
              <w:autoSpaceDN/>
              <w:adjustRightInd/>
              <w:jc w:val="right"/>
            </w:pPr>
            <w:r>
              <w:t>120</w:t>
            </w:r>
          </w:p>
        </w:tc>
      </w:tr>
      <w:tr w:rsidR="00753CD5" w:rsidRPr="0061112F" w14:paraId="384E6ABC" w14:textId="77777777" w:rsidTr="00F71D68">
        <w:trPr>
          <w:trHeight w:val="276"/>
        </w:trPr>
        <w:tc>
          <w:tcPr>
            <w:tcW w:w="4860" w:type="dxa"/>
            <w:tcBorders>
              <w:top w:val="nil"/>
              <w:left w:val="nil"/>
              <w:bottom w:val="nil"/>
              <w:right w:val="nil"/>
            </w:tcBorders>
            <w:shd w:val="clear" w:color="auto" w:fill="auto"/>
            <w:noWrap/>
            <w:vAlign w:val="bottom"/>
            <w:hideMark/>
          </w:tcPr>
          <w:p w14:paraId="195FCC49" w14:textId="2BF7F0A5" w:rsidR="00753CD5" w:rsidRPr="004B1A43" w:rsidRDefault="00753CD5" w:rsidP="00753CD5">
            <w:pPr>
              <w:autoSpaceDE/>
              <w:autoSpaceDN/>
              <w:adjustRightInd/>
              <w:jc w:val="both"/>
            </w:pPr>
            <w:r>
              <w:t xml:space="preserve">      Total Assets </w:t>
            </w:r>
          </w:p>
        </w:tc>
        <w:tc>
          <w:tcPr>
            <w:tcW w:w="1620" w:type="dxa"/>
            <w:tcBorders>
              <w:top w:val="nil"/>
              <w:left w:val="nil"/>
              <w:bottom w:val="double" w:sz="6" w:space="0" w:color="auto"/>
              <w:right w:val="nil"/>
            </w:tcBorders>
            <w:shd w:val="clear" w:color="auto" w:fill="auto"/>
            <w:noWrap/>
            <w:vAlign w:val="bottom"/>
          </w:tcPr>
          <w:p w14:paraId="0B2CD461" w14:textId="18E7CC6E" w:rsidR="00753CD5" w:rsidRPr="00BA6F63" w:rsidRDefault="00753CD5" w:rsidP="00753CD5">
            <w:pPr>
              <w:autoSpaceDE/>
              <w:autoSpaceDN/>
              <w:adjustRightInd/>
              <w:jc w:val="right"/>
            </w:pPr>
            <w:r>
              <w:t>$29,815</w:t>
            </w:r>
          </w:p>
        </w:tc>
        <w:tc>
          <w:tcPr>
            <w:tcW w:w="236" w:type="dxa"/>
            <w:tcBorders>
              <w:top w:val="nil"/>
              <w:left w:val="nil"/>
              <w:right w:val="nil"/>
            </w:tcBorders>
            <w:shd w:val="clear" w:color="auto" w:fill="auto"/>
            <w:noWrap/>
            <w:vAlign w:val="bottom"/>
          </w:tcPr>
          <w:p w14:paraId="51DC4822" w14:textId="0187E0AE" w:rsidR="00753CD5" w:rsidRPr="00BA6F63" w:rsidRDefault="00753CD5" w:rsidP="00753CD5">
            <w:pPr>
              <w:autoSpaceDE/>
              <w:autoSpaceDN/>
              <w:adjustRightInd/>
              <w:jc w:val="right"/>
            </w:pPr>
          </w:p>
        </w:tc>
        <w:tc>
          <w:tcPr>
            <w:tcW w:w="1611" w:type="dxa"/>
            <w:gridSpan w:val="3"/>
            <w:tcBorders>
              <w:top w:val="single" w:sz="4" w:space="0" w:color="auto"/>
              <w:left w:val="nil"/>
              <w:bottom w:val="double" w:sz="4" w:space="0" w:color="auto"/>
              <w:right w:val="nil"/>
            </w:tcBorders>
            <w:vAlign w:val="bottom"/>
          </w:tcPr>
          <w:p w14:paraId="3D2F1F98" w14:textId="04EF8538" w:rsidR="00753CD5" w:rsidRPr="00BA6F63" w:rsidRDefault="00753CD5" w:rsidP="00753CD5">
            <w:pPr>
              <w:autoSpaceDE/>
              <w:autoSpaceDN/>
              <w:adjustRightInd/>
              <w:jc w:val="right"/>
            </w:pPr>
            <w:r>
              <w:t>$31,692</w:t>
            </w:r>
          </w:p>
        </w:tc>
        <w:tc>
          <w:tcPr>
            <w:tcW w:w="259" w:type="dxa"/>
            <w:gridSpan w:val="2"/>
            <w:tcBorders>
              <w:top w:val="nil"/>
              <w:left w:val="nil"/>
              <w:right w:val="nil"/>
            </w:tcBorders>
          </w:tcPr>
          <w:p w14:paraId="5E880F60" w14:textId="77777777" w:rsidR="00753CD5" w:rsidRPr="00BA6F63" w:rsidRDefault="00753CD5" w:rsidP="00753CD5">
            <w:pPr>
              <w:autoSpaceDE/>
              <w:autoSpaceDN/>
              <w:adjustRightInd/>
              <w:jc w:val="right"/>
            </w:pPr>
          </w:p>
        </w:tc>
        <w:tc>
          <w:tcPr>
            <w:tcW w:w="1620" w:type="dxa"/>
            <w:tcBorders>
              <w:top w:val="nil"/>
              <w:left w:val="nil"/>
              <w:bottom w:val="double" w:sz="6" w:space="0" w:color="auto"/>
              <w:right w:val="nil"/>
            </w:tcBorders>
            <w:shd w:val="clear" w:color="auto" w:fill="auto"/>
            <w:noWrap/>
            <w:vAlign w:val="bottom"/>
          </w:tcPr>
          <w:p w14:paraId="0AC8115A" w14:textId="3BFA728D" w:rsidR="00753CD5" w:rsidRPr="00BA6F63" w:rsidRDefault="00753CD5" w:rsidP="00753CD5">
            <w:pPr>
              <w:autoSpaceDE/>
              <w:autoSpaceDN/>
              <w:adjustRightInd/>
              <w:jc w:val="right"/>
            </w:pPr>
            <w:r>
              <w:t>$32,481</w:t>
            </w:r>
          </w:p>
        </w:tc>
      </w:tr>
      <w:tr w:rsidR="00753CD5" w:rsidRPr="0061112F" w14:paraId="508F2AB2" w14:textId="77777777" w:rsidTr="00F71D68">
        <w:trPr>
          <w:trHeight w:val="153"/>
        </w:trPr>
        <w:tc>
          <w:tcPr>
            <w:tcW w:w="4860" w:type="dxa"/>
            <w:tcBorders>
              <w:top w:val="nil"/>
              <w:left w:val="nil"/>
              <w:bottom w:val="nil"/>
              <w:right w:val="nil"/>
            </w:tcBorders>
            <w:shd w:val="clear" w:color="auto" w:fill="auto"/>
            <w:noWrap/>
            <w:vAlign w:val="bottom"/>
          </w:tcPr>
          <w:p w14:paraId="272A7DE7" w14:textId="77777777" w:rsidR="00753CD5" w:rsidRPr="004B1A43" w:rsidRDefault="00753CD5" w:rsidP="00753CD5">
            <w:pPr>
              <w:autoSpaceDE/>
              <w:autoSpaceDN/>
              <w:adjustRightInd/>
              <w:jc w:val="both"/>
              <w:rPr>
                <w:b/>
                <w:bCs/>
              </w:rPr>
            </w:pPr>
          </w:p>
        </w:tc>
        <w:tc>
          <w:tcPr>
            <w:tcW w:w="1620" w:type="dxa"/>
            <w:tcBorders>
              <w:top w:val="nil"/>
              <w:left w:val="nil"/>
              <w:bottom w:val="nil"/>
              <w:right w:val="nil"/>
            </w:tcBorders>
            <w:shd w:val="clear" w:color="auto" w:fill="auto"/>
            <w:noWrap/>
            <w:vAlign w:val="bottom"/>
          </w:tcPr>
          <w:p w14:paraId="242CD3A6" w14:textId="77777777" w:rsidR="00753CD5" w:rsidRPr="00BA6F63" w:rsidRDefault="00753CD5" w:rsidP="00753CD5">
            <w:pPr>
              <w:autoSpaceDE/>
              <w:autoSpaceDN/>
              <w:adjustRightInd/>
              <w:jc w:val="right"/>
              <w:rPr>
                <w:b/>
                <w:bCs/>
              </w:rPr>
            </w:pPr>
          </w:p>
        </w:tc>
        <w:tc>
          <w:tcPr>
            <w:tcW w:w="236" w:type="dxa"/>
            <w:tcBorders>
              <w:top w:val="nil"/>
              <w:left w:val="nil"/>
              <w:bottom w:val="nil"/>
              <w:right w:val="nil"/>
            </w:tcBorders>
            <w:shd w:val="clear" w:color="auto" w:fill="auto"/>
            <w:noWrap/>
            <w:vAlign w:val="bottom"/>
          </w:tcPr>
          <w:p w14:paraId="66C0492A" w14:textId="77777777" w:rsidR="00753CD5" w:rsidRPr="00BA6F63" w:rsidRDefault="00753CD5" w:rsidP="00753CD5">
            <w:pPr>
              <w:autoSpaceDE/>
              <w:autoSpaceDN/>
              <w:adjustRightInd/>
              <w:jc w:val="right"/>
            </w:pPr>
          </w:p>
        </w:tc>
        <w:tc>
          <w:tcPr>
            <w:tcW w:w="1611" w:type="dxa"/>
            <w:gridSpan w:val="3"/>
            <w:tcBorders>
              <w:top w:val="double" w:sz="4" w:space="0" w:color="auto"/>
              <w:left w:val="nil"/>
              <w:right w:val="nil"/>
            </w:tcBorders>
            <w:vAlign w:val="bottom"/>
          </w:tcPr>
          <w:p w14:paraId="79C3C37F" w14:textId="77777777" w:rsidR="00753CD5" w:rsidRPr="00BA6F63" w:rsidRDefault="00753CD5" w:rsidP="00753CD5">
            <w:pPr>
              <w:autoSpaceDE/>
              <w:autoSpaceDN/>
              <w:adjustRightInd/>
              <w:jc w:val="right"/>
            </w:pPr>
          </w:p>
        </w:tc>
        <w:tc>
          <w:tcPr>
            <w:tcW w:w="259" w:type="dxa"/>
            <w:gridSpan w:val="2"/>
            <w:tcBorders>
              <w:top w:val="nil"/>
              <w:left w:val="nil"/>
              <w:bottom w:val="nil"/>
              <w:right w:val="nil"/>
            </w:tcBorders>
          </w:tcPr>
          <w:p w14:paraId="662FC6E9" w14:textId="77777777" w:rsidR="00753CD5" w:rsidRPr="00BA6F63" w:rsidRDefault="00753CD5" w:rsidP="00753CD5">
            <w:pPr>
              <w:autoSpaceDE/>
              <w:autoSpaceDN/>
              <w:adjustRightInd/>
              <w:jc w:val="right"/>
              <w:rPr>
                <w:b/>
                <w:bCs/>
              </w:rPr>
            </w:pPr>
          </w:p>
        </w:tc>
        <w:tc>
          <w:tcPr>
            <w:tcW w:w="1620" w:type="dxa"/>
            <w:tcBorders>
              <w:top w:val="nil"/>
              <w:left w:val="nil"/>
              <w:bottom w:val="nil"/>
              <w:right w:val="nil"/>
            </w:tcBorders>
            <w:shd w:val="clear" w:color="auto" w:fill="auto"/>
            <w:noWrap/>
            <w:vAlign w:val="bottom"/>
          </w:tcPr>
          <w:p w14:paraId="51EEC883" w14:textId="77777777" w:rsidR="00753CD5" w:rsidRPr="00BA6F63" w:rsidRDefault="00753CD5" w:rsidP="00753CD5">
            <w:pPr>
              <w:autoSpaceDE/>
              <w:autoSpaceDN/>
              <w:adjustRightInd/>
              <w:jc w:val="right"/>
              <w:rPr>
                <w:b/>
                <w:bCs/>
              </w:rPr>
            </w:pPr>
          </w:p>
        </w:tc>
      </w:tr>
      <w:tr w:rsidR="00753CD5" w:rsidRPr="0061112F" w14:paraId="3A89D4CE" w14:textId="77777777" w:rsidTr="00F71D68">
        <w:trPr>
          <w:trHeight w:val="276"/>
        </w:trPr>
        <w:tc>
          <w:tcPr>
            <w:tcW w:w="4860" w:type="dxa"/>
            <w:tcBorders>
              <w:top w:val="nil"/>
              <w:left w:val="nil"/>
              <w:bottom w:val="nil"/>
              <w:right w:val="nil"/>
            </w:tcBorders>
            <w:shd w:val="clear" w:color="auto" w:fill="auto"/>
            <w:noWrap/>
            <w:vAlign w:val="bottom"/>
            <w:hideMark/>
          </w:tcPr>
          <w:p w14:paraId="33617B40" w14:textId="77777777" w:rsidR="00753CD5" w:rsidRPr="004B1A43" w:rsidRDefault="00753CD5" w:rsidP="00753CD5">
            <w:pPr>
              <w:autoSpaceDE/>
              <w:autoSpaceDN/>
              <w:adjustRightInd/>
              <w:jc w:val="both"/>
              <w:rPr>
                <w:b/>
                <w:bCs/>
              </w:rPr>
            </w:pPr>
            <w:r w:rsidRPr="004B1A43">
              <w:rPr>
                <w:b/>
                <w:bCs/>
              </w:rPr>
              <w:t>Liabilities and Equity</w:t>
            </w:r>
          </w:p>
        </w:tc>
        <w:tc>
          <w:tcPr>
            <w:tcW w:w="1620" w:type="dxa"/>
            <w:tcBorders>
              <w:top w:val="nil"/>
              <w:left w:val="nil"/>
              <w:bottom w:val="nil"/>
              <w:right w:val="nil"/>
            </w:tcBorders>
            <w:shd w:val="clear" w:color="auto" w:fill="auto"/>
            <w:noWrap/>
            <w:vAlign w:val="bottom"/>
          </w:tcPr>
          <w:p w14:paraId="3DC20EA2" w14:textId="77777777" w:rsidR="00753CD5" w:rsidRPr="00BA6F63" w:rsidRDefault="00753CD5" w:rsidP="00753CD5">
            <w:pPr>
              <w:autoSpaceDE/>
              <w:autoSpaceDN/>
              <w:adjustRightInd/>
              <w:jc w:val="right"/>
              <w:rPr>
                <w:b/>
                <w:bCs/>
              </w:rPr>
            </w:pPr>
          </w:p>
        </w:tc>
        <w:tc>
          <w:tcPr>
            <w:tcW w:w="236" w:type="dxa"/>
            <w:tcBorders>
              <w:top w:val="nil"/>
              <w:left w:val="nil"/>
              <w:bottom w:val="nil"/>
              <w:right w:val="nil"/>
            </w:tcBorders>
            <w:shd w:val="clear" w:color="auto" w:fill="auto"/>
            <w:noWrap/>
            <w:vAlign w:val="bottom"/>
          </w:tcPr>
          <w:p w14:paraId="58B82229" w14:textId="77777777" w:rsidR="00753CD5" w:rsidRPr="00BA6F63" w:rsidRDefault="00753CD5" w:rsidP="00753CD5">
            <w:pPr>
              <w:autoSpaceDE/>
              <w:autoSpaceDN/>
              <w:adjustRightInd/>
              <w:jc w:val="right"/>
            </w:pPr>
          </w:p>
        </w:tc>
        <w:tc>
          <w:tcPr>
            <w:tcW w:w="1611" w:type="dxa"/>
            <w:gridSpan w:val="3"/>
            <w:tcBorders>
              <w:left w:val="nil"/>
              <w:bottom w:val="nil"/>
              <w:right w:val="nil"/>
            </w:tcBorders>
            <w:vAlign w:val="bottom"/>
          </w:tcPr>
          <w:p w14:paraId="57E1BFFD" w14:textId="77777777" w:rsidR="00753CD5" w:rsidRPr="00BA6F63" w:rsidRDefault="00753CD5" w:rsidP="00753CD5">
            <w:pPr>
              <w:autoSpaceDE/>
              <w:autoSpaceDN/>
              <w:adjustRightInd/>
              <w:jc w:val="right"/>
            </w:pPr>
          </w:p>
        </w:tc>
        <w:tc>
          <w:tcPr>
            <w:tcW w:w="259" w:type="dxa"/>
            <w:gridSpan w:val="2"/>
            <w:tcBorders>
              <w:top w:val="nil"/>
              <w:left w:val="nil"/>
              <w:bottom w:val="nil"/>
              <w:right w:val="nil"/>
            </w:tcBorders>
          </w:tcPr>
          <w:p w14:paraId="600EE0C8" w14:textId="77777777" w:rsidR="00753CD5" w:rsidRPr="00BA6F63" w:rsidRDefault="00753CD5" w:rsidP="00753CD5">
            <w:pPr>
              <w:autoSpaceDE/>
              <w:autoSpaceDN/>
              <w:adjustRightInd/>
              <w:jc w:val="right"/>
              <w:rPr>
                <w:b/>
                <w:bCs/>
              </w:rPr>
            </w:pPr>
          </w:p>
        </w:tc>
        <w:tc>
          <w:tcPr>
            <w:tcW w:w="1620" w:type="dxa"/>
            <w:tcBorders>
              <w:top w:val="nil"/>
              <w:left w:val="nil"/>
              <w:bottom w:val="nil"/>
              <w:right w:val="nil"/>
            </w:tcBorders>
            <w:shd w:val="clear" w:color="auto" w:fill="auto"/>
            <w:noWrap/>
            <w:vAlign w:val="bottom"/>
          </w:tcPr>
          <w:p w14:paraId="2B035969" w14:textId="24C2CBBD" w:rsidR="00753CD5" w:rsidRPr="00BA6F63" w:rsidRDefault="00753CD5" w:rsidP="00753CD5">
            <w:pPr>
              <w:autoSpaceDE/>
              <w:autoSpaceDN/>
              <w:adjustRightInd/>
              <w:jc w:val="right"/>
              <w:rPr>
                <w:b/>
                <w:bCs/>
              </w:rPr>
            </w:pPr>
          </w:p>
        </w:tc>
      </w:tr>
      <w:tr w:rsidR="00753CD5" w:rsidRPr="0061112F" w14:paraId="54A633FE" w14:textId="77777777" w:rsidTr="00F71D68">
        <w:trPr>
          <w:trHeight w:val="276"/>
        </w:trPr>
        <w:tc>
          <w:tcPr>
            <w:tcW w:w="4860" w:type="dxa"/>
            <w:tcBorders>
              <w:top w:val="nil"/>
              <w:left w:val="nil"/>
              <w:bottom w:val="nil"/>
              <w:right w:val="nil"/>
            </w:tcBorders>
            <w:shd w:val="clear" w:color="auto" w:fill="auto"/>
            <w:noWrap/>
            <w:vAlign w:val="bottom"/>
            <w:hideMark/>
          </w:tcPr>
          <w:p w14:paraId="54B5BD80" w14:textId="77777777" w:rsidR="00753CD5" w:rsidRPr="004B1A43" w:rsidRDefault="00753CD5" w:rsidP="00753CD5">
            <w:pPr>
              <w:autoSpaceDE/>
              <w:autoSpaceDN/>
              <w:adjustRightInd/>
              <w:jc w:val="both"/>
            </w:pPr>
            <w:r w:rsidRPr="004B1A43">
              <w:t>Current Liabilities</w:t>
            </w:r>
          </w:p>
        </w:tc>
        <w:tc>
          <w:tcPr>
            <w:tcW w:w="1620" w:type="dxa"/>
            <w:tcBorders>
              <w:top w:val="nil"/>
              <w:left w:val="nil"/>
              <w:bottom w:val="nil"/>
              <w:right w:val="nil"/>
            </w:tcBorders>
            <w:shd w:val="clear" w:color="auto" w:fill="auto"/>
            <w:noWrap/>
            <w:vAlign w:val="bottom"/>
          </w:tcPr>
          <w:p w14:paraId="5B33A918" w14:textId="77777777" w:rsidR="00753CD5" w:rsidRPr="00BA6F63" w:rsidRDefault="00753CD5" w:rsidP="00753CD5">
            <w:pPr>
              <w:autoSpaceDE/>
              <w:autoSpaceDN/>
              <w:adjustRightInd/>
              <w:jc w:val="right"/>
            </w:pPr>
          </w:p>
        </w:tc>
        <w:tc>
          <w:tcPr>
            <w:tcW w:w="236" w:type="dxa"/>
            <w:tcBorders>
              <w:top w:val="nil"/>
              <w:left w:val="nil"/>
              <w:bottom w:val="nil"/>
              <w:right w:val="nil"/>
            </w:tcBorders>
            <w:shd w:val="clear" w:color="auto" w:fill="auto"/>
            <w:noWrap/>
            <w:vAlign w:val="bottom"/>
          </w:tcPr>
          <w:p w14:paraId="67EAF680" w14:textId="77777777" w:rsidR="00753CD5" w:rsidRPr="00BA6F63" w:rsidRDefault="00753CD5" w:rsidP="00753CD5">
            <w:pPr>
              <w:autoSpaceDE/>
              <w:autoSpaceDN/>
              <w:adjustRightInd/>
              <w:jc w:val="right"/>
            </w:pPr>
          </w:p>
        </w:tc>
        <w:tc>
          <w:tcPr>
            <w:tcW w:w="1611" w:type="dxa"/>
            <w:gridSpan w:val="3"/>
            <w:tcBorders>
              <w:top w:val="nil"/>
              <w:left w:val="nil"/>
              <w:bottom w:val="nil"/>
              <w:right w:val="nil"/>
            </w:tcBorders>
            <w:vAlign w:val="bottom"/>
          </w:tcPr>
          <w:p w14:paraId="324E7E4B" w14:textId="77777777" w:rsidR="00753CD5" w:rsidRPr="00BA6F63" w:rsidRDefault="00753CD5" w:rsidP="00753CD5">
            <w:pPr>
              <w:autoSpaceDE/>
              <w:autoSpaceDN/>
              <w:adjustRightInd/>
              <w:jc w:val="right"/>
            </w:pPr>
          </w:p>
        </w:tc>
        <w:tc>
          <w:tcPr>
            <w:tcW w:w="259" w:type="dxa"/>
            <w:gridSpan w:val="2"/>
            <w:tcBorders>
              <w:top w:val="nil"/>
              <w:left w:val="nil"/>
              <w:bottom w:val="nil"/>
              <w:right w:val="nil"/>
            </w:tcBorders>
          </w:tcPr>
          <w:p w14:paraId="6093CE02" w14:textId="77777777" w:rsidR="00753CD5" w:rsidRPr="00BA6F63" w:rsidRDefault="00753CD5" w:rsidP="00753CD5">
            <w:pPr>
              <w:autoSpaceDE/>
              <w:autoSpaceDN/>
              <w:adjustRightInd/>
              <w:jc w:val="right"/>
            </w:pPr>
          </w:p>
        </w:tc>
        <w:tc>
          <w:tcPr>
            <w:tcW w:w="1620" w:type="dxa"/>
            <w:tcBorders>
              <w:top w:val="nil"/>
              <w:left w:val="nil"/>
              <w:bottom w:val="nil"/>
              <w:right w:val="nil"/>
            </w:tcBorders>
            <w:shd w:val="clear" w:color="auto" w:fill="auto"/>
            <w:noWrap/>
            <w:vAlign w:val="bottom"/>
          </w:tcPr>
          <w:p w14:paraId="3BFF8536" w14:textId="35D251AB" w:rsidR="00753CD5" w:rsidRPr="00BA6F63" w:rsidRDefault="00753CD5" w:rsidP="00753CD5">
            <w:pPr>
              <w:autoSpaceDE/>
              <w:autoSpaceDN/>
              <w:adjustRightInd/>
              <w:jc w:val="right"/>
            </w:pPr>
          </w:p>
        </w:tc>
      </w:tr>
      <w:tr w:rsidR="00753CD5" w:rsidRPr="0061112F" w14:paraId="1F82F661" w14:textId="77777777" w:rsidTr="00F71D68">
        <w:trPr>
          <w:trHeight w:val="276"/>
        </w:trPr>
        <w:tc>
          <w:tcPr>
            <w:tcW w:w="4860" w:type="dxa"/>
            <w:tcBorders>
              <w:top w:val="nil"/>
              <w:left w:val="nil"/>
              <w:bottom w:val="nil"/>
              <w:right w:val="nil"/>
            </w:tcBorders>
            <w:shd w:val="clear" w:color="auto" w:fill="auto"/>
            <w:noWrap/>
            <w:vAlign w:val="bottom"/>
            <w:hideMark/>
          </w:tcPr>
          <w:p w14:paraId="07258D24" w14:textId="19C5C8AB" w:rsidR="00753CD5" w:rsidRPr="004B1A43" w:rsidRDefault="00753CD5" w:rsidP="00753CD5">
            <w:pPr>
              <w:autoSpaceDE/>
              <w:autoSpaceDN/>
              <w:adjustRightInd/>
              <w:ind w:left="144"/>
            </w:pPr>
            <w:r w:rsidRPr="004B1A43">
              <w:t>Accounts payable and accrued expenses</w:t>
            </w:r>
          </w:p>
        </w:tc>
        <w:tc>
          <w:tcPr>
            <w:tcW w:w="1620" w:type="dxa"/>
            <w:tcBorders>
              <w:top w:val="nil"/>
              <w:left w:val="nil"/>
              <w:right w:val="nil"/>
            </w:tcBorders>
            <w:shd w:val="clear" w:color="auto" w:fill="auto"/>
            <w:noWrap/>
            <w:vAlign w:val="bottom"/>
          </w:tcPr>
          <w:p w14:paraId="46A446D7" w14:textId="5C0369DC" w:rsidR="00753CD5" w:rsidRPr="00BA6F63" w:rsidRDefault="00753CD5" w:rsidP="00753CD5">
            <w:pPr>
              <w:autoSpaceDE/>
              <w:autoSpaceDN/>
              <w:adjustRightInd/>
              <w:jc w:val="right"/>
            </w:pPr>
            <w:r>
              <w:t>$75</w:t>
            </w:r>
          </w:p>
        </w:tc>
        <w:tc>
          <w:tcPr>
            <w:tcW w:w="236" w:type="dxa"/>
            <w:tcBorders>
              <w:top w:val="nil"/>
              <w:left w:val="nil"/>
              <w:right w:val="nil"/>
            </w:tcBorders>
            <w:shd w:val="clear" w:color="auto" w:fill="auto"/>
            <w:noWrap/>
            <w:vAlign w:val="bottom"/>
          </w:tcPr>
          <w:p w14:paraId="273E78C1" w14:textId="77777777" w:rsidR="00753CD5" w:rsidRPr="00BA6F63" w:rsidRDefault="00753CD5" w:rsidP="00753CD5">
            <w:pPr>
              <w:autoSpaceDE/>
              <w:autoSpaceDN/>
              <w:adjustRightInd/>
              <w:jc w:val="right"/>
            </w:pPr>
          </w:p>
        </w:tc>
        <w:tc>
          <w:tcPr>
            <w:tcW w:w="1611" w:type="dxa"/>
            <w:gridSpan w:val="3"/>
            <w:tcBorders>
              <w:top w:val="nil"/>
              <w:left w:val="nil"/>
              <w:right w:val="nil"/>
            </w:tcBorders>
            <w:vAlign w:val="bottom"/>
          </w:tcPr>
          <w:p w14:paraId="1A79E377" w14:textId="56437F58" w:rsidR="00753CD5" w:rsidRPr="00BA6F63" w:rsidRDefault="00753CD5" w:rsidP="00753CD5">
            <w:pPr>
              <w:autoSpaceDE/>
              <w:autoSpaceDN/>
              <w:adjustRightInd/>
              <w:jc w:val="right"/>
            </w:pPr>
            <w:r>
              <w:t>$11</w:t>
            </w:r>
          </w:p>
        </w:tc>
        <w:tc>
          <w:tcPr>
            <w:tcW w:w="259" w:type="dxa"/>
            <w:gridSpan w:val="2"/>
            <w:tcBorders>
              <w:top w:val="nil"/>
              <w:left w:val="nil"/>
              <w:right w:val="nil"/>
            </w:tcBorders>
          </w:tcPr>
          <w:p w14:paraId="096AC46F" w14:textId="77777777" w:rsidR="00753CD5" w:rsidRPr="00BA6F63" w:rsidRDefault="00753CD5" w:rsidP="00753CD5">
            <w:pPr>
              <w:autoSpaceDE/>
              <w:autoSpaceDN/>
              <w:adjustRightInd/>
              <w:jc w:val="right"/>
            </w:pPr>
          </w:p>
        </w:tc>
        <w:tc>
          <w:tcPr>
            <w:tcW w:w="1620" w:type="dxa"/>
            <w:tcBorders>
              <w:top w:val="nil"/>
              <w:left w:val="nil"/>
              <w:right w:val="nil"/>
            </w:tcBorders>
            <w:shd w:val="clear" w:color="auto" w:fill="auto"/>
            <w:noWrap/>
            <w:vAlign w:val="bottom"/>
          </w:tcPr>
          <w:p w14:paraId="22AB4501" w14:textId="2B9A7D91" w:rsidR="00753CD5" w:rsidRPr="00BA6F63" w:rsidRDefault="00753CD5" w:rsidP="00753CD5">
            <w:pPr>
              <w:autoSpaceDE/>
              <w:autoSpaceDN/>
              <w:adjustRightInd/>
              <w:jc w:val="right"/>
            </w:pPr>
            <w:r>
              <w:t>$44</w:t>
            </w:r>
          </w:p>
        </w:tc>
      </w:tr>
      <w:tr w:rsidR="00753CD5" w:rsidRPr="004B1A43" w14:paraId="77F71C15" w14:textId="77777777" w:rsidTr="00F71D68">
        <w:trPr>
          <w:trHeight w:val="276"/>
        </w:trPr>
        <w:tc>
          <w:tcPr>
            <w:tcW w:w="4860" w:type="dxa"/>
            <w:tcBorders>
              <w:top w:val="nil"/>
              <w:left w:val="nil"/>
              <w:bottom w:val="nil"/>
              <w:right w:val="nil"/>
            </w:tcBorders>
            <w:shd w:val="clear" w:color="auto" w:fill="auto"/>
            <w:noWrap/>
            <w:vAlign w:val="bottom"/>
            <w:hideMark/>
          </w:tcPr>
          <w:p w14:paraId="29CB40EF" w14:textId="6F089EB8" w:rsidR="00753CD5" w:rsidRPr="004B1A43" w:rsidRDefault="00753CD5" w:rsidP="00753CD5">
            <w:pPr>
              <w:autoSpaceDE/>
              <w:autoSpaceDN/>
              <w:adjustRightInd/>
              <w:ind w:left="144"/>
            </w:pPr>
            <w:r>
              <w:t>A</w:t>
            </w:r>
            <w:r w:rsidRPr="004B1A43">
              <w:t xml:space="preserve">ccrued </w:t>
            </w:r>
            <w:r>
              <w:t xml:space="preserve">liabilities </w:t>
            </w:r>
          </w:p>
        </w:tc>
        <w:tc>
          <w:tcPr>
            <w:tcW w:w="1620" w:type="dxa"/>
            <w:tcBorders>
              <w:top w:val="nil"/>
              <w:left w:val="nil"/>
              <w:right w:val="nil"/>
            </w:tcBorders>
            <w:shd w:val="clear" w:color="auto" w:fill="auto"/>
            <w:noWrap/>
            <w:vAlign w:val="bottom"/>
          </w:tcPr>
          <w:p w14:paraId="7586CE30" w14:textId="4D3540A3" w:rsidR="00753CD5" w:rsidRPr="00BA6F63" w:rsidRDefault="00753CD5" w:rsidP="00753CD5">
            <w:pPr>
              <w:autoSpaceDE/>
              <w:autoSpaceDN/>
              <w:adjustRightInd/>
              <w:jc w:val="right"/>
            </w:pPr>
            <w:r>
              <w:t>377</w:t>
            </w:r>
          </w:p>
        </w:tc>
        <w:tc>
          <w:tcPr>
            <w:tcW w:w="236" w:type="dxa"/>
            <w:tcBorders>
              <w:top w:val="nil"/>
              <w:left w:val="nil"/>
              <w:right w:val="nil"/>
            </w:tcBorders>
            <w:shd w:val="clear" w:color="auto" w:fill="auto"/>
            <w:noWrap/>
            <w:vAlign w:val="bottom"/>
          </w:tcPr>
          <w:p w14:paraId="4FA0FE93" w14:textId="77777777" w:rsidR="00753CD5" w:rsidRPr="00BA6F63" w:rsidRDefault="00753CD5" w:rsidP="00753CD5">
            <w:pPr>
              <w:autoSpaceDE/>
              <w:autoSpaceDN/>
              <w:adjustRightInd/>
              <w:jc w:val="right"/>
            </w:pPr>
          </w:p>
        </w:tc>
        <w:tc>
          <w:tcPr>
            <w:tcW w:w="1611" w:type="dxa"/>
            <w:gridSpan w:val="3"/>
            <w:tcBorders>
              <w:top w:val="nil"/>
              <w:left w:val="nil"/>
              <w:right w:val="nil"/>
            </w:tcBorders>
            <w:vAlign w:val="bottom"/>
          </w:tcPr>
          <w:p w14:paraId="6E53200C" w14:textId="1F84E517" w:rsidR="00753CD5" w:rsidRPr="00BA6F63" w:rsidRDefault="00753CD5" w:rsidP="00753CD5">
            <w:pPr>
              <w:autoSpaceDE/>
              <w:autoSpaceDN/>
              <w:adjustRightInd/>
              <w:jc w:val="right"/>
            </w:pPr>
            <w:r>
              <w:t>320</w:t>
            </w:r>
          </w:p>
        </w:tc>
        <w:tc>
          <w:tcPr>
            <w:tcW w:w="259" w:type="dxa"/>
            <w:gridSpan w:val="2"/>
            <w:tcBorders>
              <w:top w:val="nil"/>
              <w:left w:val="nil"/>
              <w:right w:val="nil"/>
            </w:tcBorders>
          </w:tcPr>
          <w:p w14:paraId="0601539D" w14:textId="77777777" w:rsidR="00753CD5" w:rsidRPr="00BA6F63" w:rsidRDefault="00753CD5" w:rsidP="00753CD5">
            <w:pPr>
              <w:autoSpaceDE/>
              <w:autoSpaceDN/>
              <w:adjustRightInd/>
              <w:jc w:val="right"/>
            </w:pPr>
          </w:p>
        </w:tc>
        <w:tc>
          <w:tcPr>
            <w:tcW w:w="1620" w:type="dxa"/>
            <w:tcBorders>
              <w:top w:val="nil"/>
              <w:left w:val="nil"/>
              <w:right w:val="nil"/>
            </w:tcBorders>
            <w:shd w:val="clear" w:color="auto" w:fill="auto"/>
            <w:noWrap/>
            <w:vAlign w:val="bottom"/>
          </w:tcPr>
          <w:p w14:paraId="7BF16D32" w14:textId="3203AD1D" w:rsidR="00753CD5" w:rsidRPr="00BA6F63" w:rsidRDefault="00753CD5" w:rsidP="00753CD5">
            <w:pPr>
              <w:autoSpaceDE/>
              <w:autoSpaceDN/>
              <w:adjustRightInd/>
              <w:jc w:val="right"/>
            </w:pPr>
            <w:r>
              <w:t>380</w:t>
            </w:r>
          </w:p>
        </w:tc>
      </w:tr>
      <w:tr w:rsidR="00753CD5" w:rsidRPr="0061112F" w14:paraId="423CF115" w14:textId="77777777" w:rsidTr="00F71D68">
        <w:trPr>
          <w:trHeight w:val="276"/>
        </w:trPr>
        <w:tc>
          <w:tcPr>
            <w:tcW w:w="4860" w:type="dxa"/>
            <w:tcBorders>
              <w:top w:val="nil"/>
              <w:left w:val="nil"/>
              <w:bottom w:val="nil"/>
              <w:right w:val="nil"/>
            </w:tcBorders>
            <w:shd w:val="clear" w:color="auto" w:fill="auto"/>
            <w:noWrap/>
            <w:vAlign w:val="bottom"/>
            <w:hideMark/>
          </w:tcPr>
          <w:p w14:paraId="50559646" w14:textId="77777777" w:rsidR="00753CD5" w:rsidRPr="004B1A43" w:rsidRDefault="00753CD5" w:rsidP="00753CD5">
            <w:pPr>
              <w:autoSpaceDE/>
              <w:autoSpaceDN/>
              <w:adjustRightInd/>
              <w:ind w:left="288"/>
            </w:pPr>
            <w:r w:rsidRPr="004B1A43">
              <w:t>Total Current Liabilities</w:t>
            </w:r>
          </w:p>
        </w:tc>
        <w:tc>
          <w:tcPr>
            <w:tcW w:w="1620" w:type="dxa"/>
            <w:tcBorders>
              <w:top w:val="single" w:sz="4" w:space="0" w:color="auto"/>
              <w:left w:val="nil"/>
              <w:right w:val="nil"/>
            </w:tcBorders>
            <w:shd w:val="clear" w:color="auto" w:fill="auto"/>
            <w:noWrap/>
            <w:vAlign w:val="bottom"/>
          </w:tcPr>
          <w:p w14:paraId="7E72DC62" w14:textId="782CC41A" w:rsidR="00753CD5" w:rsidRPr="00BA6F63" w:rsidRDefault="00753CD5" w:rsidP="00753CD5">
            <w:pPr>
              <w:autoSpaceDE/>
              <w:autoSpaceDN/>
              <w:adjustRightInd/>
              <w:jc w:val="right"/>
            </w:pPr>
            <w:r>
              <w:t>452</w:t>
            </w:r>
          </w:p>
        </w:tc>
        <w:tc>
          <w:tcPr>
            <w:tcW w:w="236" w:type="dxa"/>
            <w:tcBorders>
              <w:top w:val="nil"/>
              <w:left w:val="nil"/>
              <w:bottom w:val="nil"/>
              <w:right w:val="nil"/>
            </w:tcBorders>
            <w:shd w:val="clear" w:color="auto" w:fill="auto"/>
            <w:noWrap/>
            <w:vAlign w:val="bottom"/>
          </w:tcPr>
          <w:p w14:paraId="177D9D75" w14:textId="77777777" w:rsidR="00753CD5" w:rsidRPr="00BA6F63" w:rsidRDefault="00753CD5" w:rsidP="00753CD5">
            <w:pPr>
              <w:autoSpaceDE/>
              <w:autoSpaceDN/>
              <w:adjustRightInd/>
              <w:jc w:val="right"/>
            </w:pPr>
          </w:p>
        </w:tc>
        <w:tc>
          <w:tcPr>
            <w:tcW w:w="1611" w:type="dxa"/>
            <w:gridSpan w:val="3"/>
            <w:tcBorders>
              <w:top w:val="single" w:sz="4" w:space="0" w:color="auto"/>
              <w:left w:val="nil"/>
              <w:right w:val="nil"/>
            </w:tcBorders>
            <w:vAlign w:val="bottom"/>
          </w:tcPr>
          <w:p w14:paraId="154773D4" w14:textId="24C6BAE7" w:rsidR="00753CD5" w:rsidRPr="00BA6F63" w:rsidRDefault="00753CD5" w:rsidP="00753CD5">
            <w:pPr>
              <w:autoSpaceDE/>
              <w:autoSpaceDN/>
              <w:adjustRightInd/>
              <w:jc w:val="right"/>
            </w:pPr>
            <w:r>
              <w:t>331</w:t>
            </w:r>
          </w:p>
        </w:tc>
        <w:tc>
          <w:tcPr>
            <w:tcW w:w="259" w:type="dxa"/>
            <w:gridSpan w:val="2"/>
            <w:tcBorders>
              <w:left w:val="nil"/>
              <w:right w:val="nil"/>
            </w:tcBorders>
          </w:tcPr>
          <w:p w14:paraId="5A9DAA75" w14:textId="77777777" w:rsidR="00753CD5" w:rsidRPr="00BA6F63" w:rsidRDefault="00753CD5" w:rsidP="00753CD5">
            <w:pPr>
              <w:autoSpaceDE/>
              <w:autoSpaceDN/>
              <w:adjustRightInd/>
              <w:jc w:val="right"/>
            </w:pPr>
          </w:p>
        </w:tc>
        <w:tc>
          <w:tcPr>
            <w:tcW w:w="1620" w:type="dxa"/>
            <w:tcBorders>
              <w:top w:val="single" w:sz="4" w:space="0" w:color="auto"/>
              <w:left w:val="nil"/>
              <w:right w:val="nil"/>
            </w:tcBorders>
            <w:shd w:val="clear" w:color="auto" w:fill="auto"/>
            <w:noWrap/>
            <w:vAlign w:val="bottom"/>
          </w:tcPr>
          <w:p w14:paraId="490E3CBD" w14:textId="1DF23A28" w:rsidR="00753CD5" w:rsidRPr="00BA6F63" w:rsidRDefault="00753CD5" w:rsidP="00753CD5">
            <w:pPr>
              <w:autoSpaceDE/>
              <w:autoSpaceDN/>
              <w:adjustRightInd/>
              <w:jc w:val="right"/>
            </w:pPr>
            <w:r>
              <w:t>424</w:t>
            </w:r>
          </w:p>
        </w:tc>
      </w:tr>
      <w:tr w:rsidR="00753CD5" w:rsidRPr="0061112F" w14:paraId="017D15ED" w14:textId="77777777" w:rsidTr="00F71D68">
        <w:trPr>
          <w:trHeight w:val="108"/>
        </w:trPr>
        <w:tc>
          <w:tcPr>
            <w:tcW w:w="4860" w:type="dxa"/>
            <w:tcBorders>
              <w:top w:val="nil"/>
              <w:left w:val="nil"/>
              <w:bottom w:val="nil"/>
              <w:right w:val="nil"/>
            </w:tcBorders>
            <w:shd w:val="clear" w:color="auto" w:fill="auto"/>
            <w:noWrap/>
            <w:vAlign w:val="bottom"/>
          </w:tcPr>
          <w:p w14:paraId="504B2135" w14:textId="77777777" w:rsidR="00753CD5" w:rsidRPr="004B1A43" w:rsidRDefault="00753CD5" w:rsidP="00753CD5">
            <w:pPr>
              <w:autoSpaceDE/>
              <w:autoSpaceDN/>
              <w:adjustRightInd/>
              <w:ind w:left="144"/>
            </w:pPr>
          </w:p>
        </w:tc>
        <w:tc>
          <w:tcPr>
            <w:tcW w:w="1620" w:type="dxa"/>
            <w:tcBorders>
              <w:left w:val="nil"/>
              <w:bottom w:val="nil"/>
              <w:right w:val="nil"/>
            </w:tcBorders>
            <w:shd w:val="clear" w:color="auto" w:fill="auto"/>
            <w:noWrap/>
            <w:vAlign w:val="bottom"/>
          </w:tcPr>
          <w:p w14:paraId="6D45D979" w14:textId="77777777" w:rsidR="00753CD5" w:rsidRDefault="00753CD5" w:rsidP="00753CD5">
            <w:pPr>
              <w:autoSpaceDE/>
              <w:autoSpaceDN/>
              <w:adjustRightInd/>
              <w:jc w:val="right"/>
            </w:pPr>
          </w:p>
        </w:tc>
        <w:tc>
          <w:tcPr>
            <w:tcW w:w="236" w:type="dxa"/>
            <w:tcBorders>
              <w:top w:val="nil"/>
              <w:left w:val="nil"/>
              <w:bottom w:val="nil"/>
              <w:right w:val="nil"/>
            </w:tcBorders>
            <w:shd w:val="clear" w:color="auto" w:fill="auto"/>
            <w:noWrap/>
            <w:vAlign w:val="bottom"/>
          </w:tcPr>
          <w:p w14:paraId="2BB4F463" w14:textId="77777777" w:rsidR="00753CD5" w:rsidRPr="00BA6F63" w:rsidRDefault="00753CD5" w:rsidP="00753CD5">
            <w:pPr>
              <w:autoSpaceDE/>
              <w:autoSpaceDN/>
              <w:adjustRightInd/>
              <w:jc w:val="right"/>
            </w:pPr>
          </w:p>
        </w:tc>
        <w:tc>
          <w:tcPr>
            <w:tcW w:w="1611" w:type="dxa"/>
            <w:gridSpan w:val="3"/>
            <w:tcBorders>
              <w:left w:val="nil"/>
              <w:bottom w:val="nil"/>
              <w:right w:val="nil"/>
            </w:tcBorders>
            <w:vAlign w:val="bottom"/>
          </w:tcPr>
          <w:p w14:paraId="58105680" w14:textId="77777777" w:rsidR="00753CD5" w:rsidRDefault="00753CD5" w:rsidP="00753CD5">
            <w:pPr>
              <w:autoSpaceDE/>
              <w:autoSpaceDN/>
              <w:adjustRightInd/>
              <w:jc w:val="right"/>
            </w:pPr>
          </w:p>
        </w:tc>
        <w:tc>
          <w:tcPr>
            <w:tcW w:w="259" w:type="dxa"/>
            <w:gridSpan w:val="2"/>
            <w:tcBorders>
              <w:left w:val="nil"/>
              <w:bottom w:val="nil"/>
              <w:right w:val="nil"/>
            </w:tcBorders>
          </w:tcPr>
          <w:p w14:paraId="05D352DB" w14:textId="77777777" w:rsidR="00753CD5" w:rsidRPr="00BA6F63" w:rsidRDefault="00753CD5" w:rsidP="00753CD5">
            <w:pPr>
              <w:autoSpaceDE/>
              <w:autoSpaceDN/>
              <w:adjustRightInd/>
              <w:jc w:val="right"/>
            </w:pPr>
          </w:p>
        </w:tc>
        <w:tc>
          <w:tcPr>
            <w:tcW w:w="1620" w:type="dxa"/>
            <w:tcBorders>
              <w:left w:val="nil"/>
              <w:bottom w:val="nil"/>
              <w:right w:val="nil"/>
            </w:tcBorders>
            <w:shd w:val="clear" w:color="auto" w:fill="auto"/>
            <w:noWrap/>
            <w:vAlign w:val="bottom"/>
          </w:tcPr>
          <w:p w14:paraId="171E53AF" w14:textId="77777777" w:rsidR="00753CD5" w:rsidRDefault="00753CD5" w:rsidP="00753CD5">
            <w:pPr>
              <w:autoSpaceDE/>
              <w:autoSpaceDN/>
              <w:adjustRightInd/>
              <w:jc w:val="right"/>
            </w:pPr>
          </w:p>
        </w:tc>
      </w:tr>
      <w:tr w:rsidR="00753CD5" w:rsidRPr="0061112F" w14:paraId="5DC023C4" w14:textId="77777777" w:rsidTr="00F71D68">
        <w:trPr>
          <w:trHeight w:val="276"/>
        </w:trPr>
        <w:tc>
          <w:tcPr>
            <w:tcW w:w="4860" w:type="dxa"/>
            <w:tcBorders>
              <w:top w:val="nil"/>
              <w:left w:val="nil"/>
              <w:bottom w:val="nil"/>
              <w:right w:val="nil"/>
            </w:tcBorders>
            <w:shd w:val="clear" w:color="auto" w:fill="auto"/>
            <w:noWrap/>
            <w:vAlign w:val="bottom"/>
            <w:hideMark/>
          </w:tcPr>
          <w:p w14:paraId="36F984FA" w14:textId="28DA4730" w:rsidR="00753CD5" w:rsidRPr="004B1A43" w:rsidRDefault="00753CD5" w:rsidP="00753CD5">
            <w:pPr>
              <w:autoSpaceDE/>
              <w:autoSpaceDN/>
              <w:adjustRightInd/>
              <w:ind w:left="144"/>
            </w:pPr>
            <w:r w:rsidRPr="004B1A43">
              <w:t>Deferred income taxes</w:t>
            </w:r>
          </w:p>
        </w:tc>
        <w:tc>
          <w:tcPr>
            <w:tcW w:w="1620" w:type="dxa"/>
            <w:tcBorders>
              <w:left w:val="nil"/>
              <w:bottom w:val="nil"/>
              <w:right w:val="nil"/>
            </w:tcBorders>
            <w:shd w:val="clear" w:color="auto" w:fill="auto"/>
            <w:noWrap/>
            <w:vAlign w:val="bottom"/>
          </w:tcPr>
          <w:p w14:paraId="1D6F3633" w14:textId="066F3A86" w:rsidR="00753CD5" w:rsidRPr="00BA6F63" w:rsidRDefault="00753CD5" w:rsidP="00753CD5">
            <w:pPr>
              <w:autoSpaceDE/>
              <w:autoSpaceDN/>
              <w:adjustRightInd/>
              <w:jc w:val="right"/>
            </w:pPr>
            <w:r>
              <w:t>157</w:t>
            </w:r>
          </w:p>
        </w:tc>
        <w:tc>
          <w:tcPr>
            <w:tcW w:w="236" w:type="dxa"/>
            <w:tcBorders>
              <w:top w:val="nil"/>
              <w:left w:val="nil"/>
              <w:bottom w:val="nil"/>
              <w:right w:val="nil"/>
            </w:tcBorders>
            <w:shd w:val="clear" w:color="auto" w:fill="auto"/>
            <w:noWrap/>
            <w:vAlign w:val="bottom"/>
          </w:tcPr>
          <w:p w14:paraId="4E7F1207" w14:textId="77777777" w:rsidR="00753CD5" w:rsidRPr="00BA6F63" w:rsidRDefault="00753CD5" w:rsidP="00753CD5">
            <w:pPr>
              <w:autoSpaceDE/>
              <w:autoSpaceDN/>
              <w:adjustRightInd/>
              <w:jc w:val="right"/>
            </w:pPr>
          </w:p>
        </w:tc>
        <w:tc>
          <w:tcPr>
            <w:tcW w:w="1611" w:type="dxa"/>
            <w:gridSpan w:val="3"/>
            <w:tcBorders>
              <w:left w:val="nil"/>
              <w:bottom w:val="nil"/>
              <w:right w:val="nil"/>
            </w:tcBorders>
            <w:vAlign w:val="bottom"/>
          </w:tcPr>
          <w:p w14:paraId="5D8A1337" w14:textId="53526C77" w:rsidR="00753CD5" w:rsidRPr="00BA6F63" w:rsidRDefault="00753CD5" w:rsidP="00753CD5">
            <w:pPr>
              <w:autoSpaceDE/>
              <w:autoSpaceDN/>
              <w:adjustRightInd/>
              <w:jc w:val="right"/>
            </w:pPr>
            <w:r>
              <w:t>218</w:t>
            </w:r>
          </w:p>
        </w:tc>
        <w:tc>
          <w:tcPr>
            <w:tcW w:w="259" w:type="dxa"/>
            <w:gridSpan w:val="2"/>
            <w:tcBorders>
              <w:left w:val="nil"/>
              <w:bottom w:val="nil"/>
              <w:right w:val="nil"/>
            </w:tcBorders>
          </w:tcPr>
          <w:p w14:paraId="5BCDC0B0" w14:textId="77777777" w:rsidR="00753CD5" w:rsidRPr="00BA6F63" w:rsidRDefault="00753CD5" w:rsidP="00753CD5">
            <w:pPr>
              <w:autoSpaceDE/>
              <w:autoSpaceDN/>
              <w:adjustRightInd/>
              <w:jc w:val="right"/>
            </w:pPr>
          </w:p>
        </w:tc>
        <w:tc>
          <w:tcPr>
            <w:tcW w:w="1620" w:type="dxa"/>
            <w:tcBorders>
              <w:left w:val="nil"/>
              <w:bottom w:val="nil"/>
              <w:right w:val="nil"/>
            </w:tcBorders>
            <w:shd w:val="clear" w:color="auto" w:fill="auto"/>
            <w:noWrap/>
            <w:vAlign w:val="bottom"/>
          </w:tcPr>
          <w:p w14:paraId="7BE365AA" w14:textId="7B7952B6" w:rsidR="00753CD5" w:rsidRPr="00BA6F63" w:rsidRDefault="00753CD5" w:rsidP="00753CD5">
            <w:pPr>
              <w:autoSpaceDE/>
              <w:autoSpaceDN/>
              <w:adjustRightInd/>
              <w:jc w:val="right"/>
            </w:pPr>
            <w:r>
              <w:t>226</w:t>
            </w:r>
          </w:p>
        </w:tc>
      </w:tr>
      <w:tr w:rsidR="00753CD5" w:rsidRPr="0061112F" w14:paraId="083A9CAD" w14:textId="77777777" w:rsidTr="00F71D68">
        <w:trPr>
          <w:trHeight w:val="276"/>
        </w:trPr>
        <w:tc>
          <w:tcPr>
            <w:tcW w:w="4860" w:type="dxa"/>
            <w:tcBorders>
              <w:top w:val="nil"/>
              <w:left w:val="nil"/>
              <w:bottom w:val="nil"/>
              <w:right w:val="nil"/>
            </w:tcBorders>
            <w:shd w:val="clear" w:color="auto" w:fill="auto"/>
            <w:noWrap/>
            <w:vAlign w:val="bottom"/>
          </w:tcPr>
          <w:p w14:paraId="1C6798D3" w14:textId="4E843486" w:rsidR="00753CD5" w:rsidRDefault="00753CD5" w:rsidP="00753CD5">
            <w:pPr>
              <w:autoSpaceDE/>
              <w:autoSpaceDN/>
              <w:adjustRightInd/>
              <w:ind w:left="144"/>
            </w:pPr>
            <w:r>
              <w:t xml:space="preserve">Other liabilities </w:t>
            </w:r>
          </w:p>
        </w:tc>
        <w:tc>
          <w:tcPr>
            <w:tcW w:w="1620" w:type="dxa"/>
            <w:tcBorders>
              <w:left w:val="nil"/>
              <w:bottom w:val="nil"/>
              <w:right w:val="nil"/>
            </w:tcBorders>
            <w:shd w:val="clear" w:color="auto" w:fill="auto"/>
            <w:noWrap/>
            <w:vAlign w:val="bottom"/>
          </w:tcPr>
          <w:p w14:paraId="4D5E9AE9" w14:textId="4AEF6A2D" w:rsidR="00753CD5" w:rsidRPr="00BA6F63" w:rsidRDefault="00753CD5" w:rsidP="00753CD5">
            <w:pPr>
              <w:autoSpaceDE/>
              <w:autoSpaceDN/>
              <w:adjustRightInd/>
              <w:jc w:val="right"/>
            </w:pPr>
            <w:r>
              <w:t>104</w:t>
            </w:r>
          </w:p>
        </w:tc>
        <w:tc>
          <w:tcPr>
            <w:tcW w:w="236" w:type="dxa"/>
            <w:tcBorders>
              <w:top w:val="nil"/>
              <w:left w:val="nil"/>
              <w:bottom w:val="nil"/>
              <w:right w:val="nil"/>
            </w:tcBorders>
            <w:shd w:val="clear" w:color="auto" w:fill="auto"/>
            <w:noWrap/>
            <w:vAlign w:val="bottom"/>
          </w:tcPr>
          <w:p w14:paraId="4169C8B1" w14:textId="77777777" w:rsidR="00753CD5" w:rsidRPr="00BA6F63" w:rsidRDefault="00753CD5" w:rsidP="00753CD5">
            <w:pPr>
              <w:autoSpaceDE/>
              <w:autoSpaceDN/>
              <w:adjustRightInd/>
              <w:jc w:val="right"/>
            </w:pPr>
          </w:p>
        </w:tc>
        <w:tc>
          <w:tcPr>
            <w:tcW w:w="1611" w:type="dxa"/>
            <w:gridSpan w:val="3"/>
            <w:tcBorders>
              <w:left w:val="nil"/>
              <w:bottom w:val="nil"/>
              <w:right w:val="nil"/>
            </w:tcBorders>
            <w:vAlign w:val="bottom"/>
          </w:tcPr>
          <w:p w14:paraId="1245054C" w14:textId="0C9AEACC" w:rsidR="00753CD5" w:rsidRPr="00BA6F63" w:rsidRDefault="00753CD5" w:rsidP="00753CD5">
            <w:pPr>
              <w:autoSpaceDE/>
              <w:autoSpaceDN/>
              <w:adjustRightInd/>
              <w:jc w:val="right"/>
            </w:pPr>
            <w:r>
              <w:t>104</w:t>
            </w:r>
          </w:p>
        </w:tc>
        <w:tc>
          <w:tcPr>
            <w:tcW w:w="259" w:type="dxa"/>
            <w:gridSpan w:val="2"/>
            <w:tcBorders>
              <w:left w:val="nil"/>
              <w:bottom w:val="nil"/>
              <w:right w:val="nil"/>
            </w:tcBorders>
          </w:tcPr>
          <w:p w14:paraId="7CE8E3A9" w14:textId="77777777" w:rsidR="00753CD5" w:rsidRPr="00BA6F63" w:rsidRDefault="00753CD5" w:rsidP="00753CD5">
            <w:pPr>
              <w:autoSpaceDE/>
              <w:autoSpaceDN/>
              <w:adjustRightInd/>
            </w:pPr>
          </w:p>
        </w:tc>
        <w:tc>
          <w:tcPr>
            <w:tcW w:w="1620" w:type="dxa"/>
            <w:tcBorders>
              <w:left w:val="nil"/>
              <w:bottom w:val="nil"/>
              <w:right w:val="nil"/>
            </w:tcBorders>
            <w:shd w:val="clear" w:color="auto" w:fill="auto"/>
            <w:noWrap/>
            <w:vAlign w:val="bottom"/>
          </w:tcPr>
          <w:p w14:paraId="0D72CD4C" w14:textId="44D791AC" w:rsidR="00753CD5" w:rsidRPr="00BA6F63" w:rsidRDefault="00753CD5" w:rsidP="00753CD5">
            <w:pPr>
              <w:autoSpaceDE/>
              <w:autoSpaceDN/>
              <w:adjustRightInd/>
              <w:jc w:val="right"/>
            </w:pPr>
            <w:r>
              <w:t>104</w:t>
            </w:r>
          </w:p>
        </w:tc>
      </w:tr>
      <w:tr w:rsidR="00753CD5" w:rsidRPr="0061112F" w14:paraId="691482C5" w14:textId="77777777" w:rsidTr="00F71D68">
        <w:trPr>
          <w:trHeight w:val="276"/>
        </w:trPr>
        <w:tc>
          <w:tcPr>
            <w:tcW w:w="4860" w:type="dxa"/>
            <w:tcBorders>
              <w:top w:val="nil"/>
              <w:left w:val="nil"/>
              <w:bottom w:val="nil"/>
              <w:right w:val="nil"/>
            </w:tcBorders>
            <w:shd w:val="clear" w:color="auto" w:fill="auto"/>
            <w:noWrap/>
            <w:vAlign w:val="bottom"/>
            <w:hideMark/>
          </w:tcPr>
          <w:p w14:paraId="70EB4E6B" w14:textId="77777777" w:rsidR="00753CD5" w:rsidRPr="004B1A43" w:rsidRDefault="00753CD5" w:rsidP="00753CD5">
            <w:pPr>
              <w:autoSpaceDE/>
              <w:autoSpaceDN/>
              <w:adjustRightInd/>
              <w:ind w:left="288"/>
              <w:jc w:val="both"/>
            </w:pPr>
            <w:r w:rsidRPr="004B1A43">
              <w:t>Total Liabilities</w:t>
            </w:r>
          </w:p>
        </w:tc>
        <w:tc>
          <w:tcPr>
            <w:tcW w:w="1620" w:type="dxa"/>
            <w:tcBorders>
              <w:top w:val="single" w:sz="4" w:space="0" w:color="auto"/>
              <w:left w:val="nil"/>
              <w:bottom w:val="single" w:sz="4" w:space="0" w:color="auto"/>
              <w:right w:val="nil"/>
            </w:tcBorders>
            <w:shd w:val="clear" w:color="auto" w:fill="auto"/>
            <w:noWrap/>
            <w:vAlign w:val="bottom"/>
          </w:tcPr>
          <w:p w14:paraId="0E2C64FF" w14:textId="1A1CCE17" w:rsidR="00753CD5" w:rsidRPr="00BA6F63" w:rsidRDefault="00753CD5" w:rsidP="00753CD5">
            <w:pPr>
              <w:autoSpaceDE/>
              <w:autoSpaceDN/>
              <w:adjustRightInd/>
              <w:jc w:val="right"/>
            </w:pPr>
            <w:r>
              <w:t>713</w:t>
            </w:r>
          </w:p>
        </w:tc>
        <w:tc>
          <w:tcPr>
            <w:tcW w:w="236" w:type="dxa"/>
            <w:tcBorders>
              <w:top w:val="nil"/>
              <w:left w:val="nil"/>
              <w:bottom w:val="nil"/>
              <w:right w:val="nil"/>
            </w:tcBorders>
            <w:shd w:val="clear" w:color="auto" w:fill="auto"/>
            <w:noWrap/>
            <w:vAlign w:val="bottom"/>
          </w:tcPr>
          <w:p w14:paraId="582B4382" w14:textId="77777777" w:rsidR="00753CD5" w:rsidRPr="00BA6F63" w:rsidRDefault="00753CD5" w:rsidP="00753CD5">
            <w:pPr>
              <w:autoSpaceDE/>
              <w:autoSpaceDN/>
              <w:adjustRightInd/>
              <w:jc w:val="right"/>
            </w:pPr>
          </w:p>
        </w:tc>
        <w:tc>
          <w:tcPr>
            <w:tcW w:w="1611" w:type="dxa"/>
            <w:gridSpan w:val="3"/>
            <w:tcBorders>
              <w:top w:val="single" w:sz="4" w:space="0" w:color="auto"/>
              <w:left w:val="nil"/>
              <w:bottom w:val="single" w:sz="4" w:space="0" w:color="auto"/>
              <w:right w:val="nil"/>
            </w:tcBorders>
            <w:vAlign w:val="bottom"/>
          </w:tcPr>
          <w:p w14:paraId="4089F4C0" w14:textId="286733D7" w:rsidR="00753CD5" w:rsidRPr="00BA6F63" w:rsidRDefault="00753CD5" w:rsidP="00753CD5">
            <w:pPr>
              <w:autoSpaceDE/>
              <w:autoSpaceDN/>
              <w:adjustRightInd/>
              <w:jc w:val="right"/>
            </w:pPr>
            <w:r>
              <w:t>653</w:t>
            </w:r>
          </w:p>
        </w:tc>
        <w:tc>
          <w:tcPr>
            <w:tcW w:w="259" w:type="dxa"/>
            <w:gridSpan w:val="2"/>
            <w:tcBorders>
              <w:left w:val="nil"/>
              <w:right w:val="nil"/>
            </w:tcBorders>
          </w:tcPr>
          <w:p w14:paraId="0EC75110" w14:textId="77777777" w:rsidR="00753CD5" w:rsidRPr="00BA6F63" w:rsidRDefault="00753CD5" w:rsidP="00753CD5">
            <w:pPr>
              <w:autoSpaceDE/>
              <w:autoSpaceDN/>
              <w:adjustRightInd/>
              <w:jc w:val="right"/>
            </w:pPr>
          </w:p>
        </w:tc>
        <w:tc>
          <w:tcPr>
            <w:tcW w:w="1620" w:type="dxa"/>
            <w:tcBorders>
              <w:top w:val="single" w:sz="4" w:space="0" w:color="auto"/>
              <w:left w:val="nil"/>
              <w:bottom w:val="single" w:sz="4" w:space="0" w:color="auto"/>
              <w:right w:val="nil"/>
            </w:tcBorders>
            <w:shd w:val="clear" w:color="auto" w:fill="auto"/>
            <w:noWrap/>
            <w:vAlign w:val="bottom"/>
          </w:tcPr>
          <w:p w14:paraId="0EC9A6E6" w14:textId="59E965DE" w:rsidR="00753CD5" w:rsidRPr="00BA6F63" w:rsidRDefault="00753CD5" w:rsidP="00753CD5">
            <w:pPr>
              <w:autoSpaceDE/>
              <w:autoSpaceDN/>
              <w:adjustRightInd/>
              <w:jc w:val="right"/>
            </w:pPr>
            <w:r>
              <w:t>754</w:t>
            </w:r>
          </w:p>
        </w:tc>
      </w:tr>
      <w:tr w:rsidR="00753CD5" w:rsidRPr="0061112F" w14:paraId="3D8FDB40" w14:textId="77777777" w:rsidTr="003A1E17">
        <w:trPr>
          <w:trHeight w:val="161"/>
        </w:trPr>
        <w:tc>
          <w:tcPr>
            <w:tcW w:w="4860" w:type="dxa"/>
            <w:tcBorders>
              <w:top w:val="nil"/>
              <w:left w:val="nil"/>
              <w:bottom w:val="nil"/>
              <w:right w:val="nil"/>
            </w:tcBorders>
            <w:shd w:val="clear" w:color="auto" w:fill="auto"/>
            <w:noWrap/>
            <w:vAlign w:val="bottom"/>
            <w:hideMark/>
          </w:tcPr>
          <w:p w14:paraId="52E9A8C4" w14:textId="77777777" w:rsidR="00753CD5" w:rsidRPr="004B1A43" w:rsidRDefault="00753CD5" w:rsidP="00753CD5">
            <w:pPr>
              <w:autoSpaceDE/>
              <w:autoSpaceDN/>
              <w:adjustRightInd/>
              <w:jc w:val="both"/>
            </w:pPr>
          </w:p>
        </w:tc>
        <w:tc>
          <w:tcPr>
            <w:tcW w:w="1620" w:type="dxa"/>
            <w:tcBorders>
              <w:top w:val="single" w:sz="4" w:space="0" w:color="auto"/>
              <w:left w:val="nil"/>
              <w:bottom w:val="nil"/>
              <w:right w:val="nil"/>
            </w:tcBorders>
            <w:shd w:val="clear" w:color="auto" w:fill="auto"/>
            <w:noWrap/>
            <w:vAlign w:val="bottom"/>
          </w:tcPr>
          <w:p w14:paraId="68FC41F0" w14:textId="77777777" w:rsidR="00753CD5" w:rsidRPr="00BA6F63" w:rsidRDefault="00753CD5" w:rsidP="00753CD5">
            <w:pPr>
              <w:autoSpaceDE/>
              <w:autoSpaceDN/>
              <w:adjustRightInd/>
              <w:jc w:val="right"/>
            </w:pPr>
          </w:p>
        </w:tc>
        <w:tc>
          <w:tcPr>
            <w:tcW w:w="236" w:type="dxa"/>
            <w:tcBorders>
              <w:top w:val="nil"/>
              <w:left w:val="nil"/>
              <w:bottom w:val="nil"/>
              <w:right w:val="nil"/>
            </w:tcBorders>
            <w:shd w:val="clear" w:color="auto" w:fill="auto"/>
            <w:noWrap/>
            <w:vAlign w:val="bottom"/>
          </w:tcPr>
          <w:p w14:paraId="307A931E" w14:textId="77777777" w:rsidR="00753CD5" w:rsidRPr="00BA6F63" w:rsidRDefault="00753CD5" w:rsidP="00753CD5">
            <w:pPr>
              <w:autoSpaceDE/>
              <w:autoSpaceDN/>
              <w:adjustRightInd/>
              <w:jc w:val="right"/>
            </w:pPr>
          </w:p>
        </w:tc>
        <w:tc>
          <w:tcPr>
            <w:tcW w:w="1611" w:type="dxa"/>
            <w:gridSpan w:val="3"/>
            <w:tcBorders>
              <w:top w:val="single" w:sz="4" w:space="0" w:color="auto"/>
              <w:left w:val="nil"/>
              <w:bottom w:val="nil"/>
              <w:right w:val="nil"/>
            </w:tcBorders>
            <w:vAlign w:val="bottom"/>
          </w:tcPr>
          <w:p w14:paraId="31E262C2" w14:textId="77777777" w:rsidR="00753CD5" w:rsidRPr="00BA6F63" w:rsidRDefault="00753CD5" w:rsidP="00753CD5">
            <w:pPr>
              <w:autoSpaceDE/>
              <w:autoSpaceDN/>
              <w:adjustRightInd/>
              <w:jc w:val="right"/>
            </w:pPr>
          </w:p>
        </w:tc>
        <w:tc>
          <w:tcPr>
            <w:tcW w:w="259" w:type="dxa"/>
            <w:gridSpan w:val="2"/>
            <w:tcBorders>
              <w:left w:val="nil"/>
              <w:bottom w:val="nil"/>
              <w:right w:val="nil"/>
            </w:tcBorders>
          </w:tcPr>
          <w:p w14:paraId="5CE35E92" w14:textId="77777777" w:rsidR="00753CD5" w:rsidRPr="00BA6F63" w:rsidRDefault="00753CD5" w:rsidP="00753CD5">
            <w:pPr>
              <w:autoSpaceDE/>
              <w:autoSpaceDN/>
              <w:adjustRightInd/>
              <w:jc w:val="right"/>
            </w:pPr>
          </w:p>
        </w:tc>
        <w:tc>
          <w:tcPr>
            <w:tcW w:w="1620" w:type="dxa"/>
            <w:tcBorders>
              <w:top w:val="single" w:sz="4" w:space="0" w:color="auto"/>
              <w:left w:val="nil"/>
              <w:bottom w:val="nil"/>
              <w:right w:val="nil"/>
            </w:tcBorders>
            <w:shd w:val="clear" w:color="auto" w:fill="auto"/>
            <w:noWrap/>
            <w:vAlign w:val="bottom"/>
          </w:tcPr>
          <w:p w14:paraId="696AB432" w14:textId="0F7D81A5" w:rsidR="00753CD5" w:rsidRPr="00BA6F63" w:rsidRDefault="00753CD5" w:rsidP="00753CD5">
            <w:pPr>
              <w:autoSpaceDE/>
              <w:autoSpaceDN/>
              <w:adjustRightInd/>
              <w:jc w:val="right"/>
            </w:pPr>
          </w:p>
        </w:tc>
      </w:tr>
      <w:tr w:rsidR="00753CD5" w:rsidRPr="0061112F" w14:paraId="61BEB9EA" w14:textId="77777777" w:rsidTr="00F71D68">
        <w:trPr>
          <w:trHeight w:val="276"/>
        </w:trPr>
        <w:tc>
          <w:tcPr>
            <w:tcW w:w="4860" w:type="dxa"/>
            <w:tcBorders>
              <w:top w:val="nil"/>
              <w:left w:val="nil"/>
              <w:bottom w:val="nil"/>
              <w:right w:val="nil"/>
            </w:tcBorders>
            <w:shd w:val="clear" w:color="auto" w:fill="auto"/>
            <w:noWrap/>
            <w:vAlign w:val="bottom"/>
            <w:hideMark/>
          </w:tcPr>
          <w:p w14:paraId="52DAEE1B" w14:textId="789C220C" w:rsidR="00753CD5" w:rsidRPr="00F16980" w:rsidRDefault="00753CD5" w:rsidP="00753CD5">
            <w:pPr>
              <w:autoSpaceDE/>
              <w:autoSpaceDN/>
              <w:adjustRightInd/>
              <w:jc w:val="both"/>
              <w:rPr>
                <w:highlight w:val="yellow"/>
              </w:rPr>
            </w:pPr>
            <w:r w:rsidRPr="00CE5D9B">
              <w:t xml:space="preserve">Stockholders’ Equity </w:t>
            </w:r>
          </w:p>
        </w:tc>
        <w:tc>
          <w:tcPr>
            <w:tcW w:w="1620" w:type="dxa"/>
            <w:tcBorders>
              <w:top w:val="nil"/>
              <w:left w:val="nil"/>
              <w:bottom w:val="nil"/>
              <w:right w:val="nil"/>
            </w:tcBorders>
            <w:shd w:val="clear" w:color="auto" w:fill="auto"/>
            <w:noWrap/>
            <w:vAlign w:val="bottom"/>
          </w:tcPr>
          <w:p w14:paraId="33ED6311" w14:textId="77777777" w:rsidR="00753CD5" w:rsidRPr="00BA6F63" w:rsidRDefault="00753CD5" w:rsidP="00753CD5">
            <w:pPr>
              <w:autoSpaceDE/>
              <w:autoSpaceDN/>
              <w:adjustRightInd/>
              <w:jc w:val="right"/>
            </w:pPr>
          </w:p>
        </w:tc>
        <w:tc>
          <w:tcPr>
            <w:tcW w:w="236" w:type="dxa"/>
            <w:tcBorders>
              <w:top w:val="nil"/>
              <w:left w:val="nil"/>
              <w:bottom w:val="nil"/>
              <w:right w:val="nil"/>
            </w:tcBorders>
            <w:shd w:val="clear" w:color="auto" w:fill="auto"/>
            <w:noWrap/>
            <w:vAlign w:val="bottom"/>
          </w:tcPr>
          <w:p w14:paraId="34FE542D" w14:textId="77777777" w:rsidR="00753CD5" w:rsidRPr="00BA6F63" w:rsidRDefault="00753CD5" w:rsidP="00753CD5">
            <w:pPr>
              <w:autoSpaceDE/>
              <w:autoSpaceDN/>
              <w:adjustRightInd/>
              <w:jc w:val="right"/>
            </w:pPr>
          </w:p>
        </w:tc>
        <w:tc>
          <w:tcPr>
            <w:tcW w:w="1611" w:type="dxa"/>
            <w:gridSpan w:val="3"/>
            <w:tcBorders>
              <w:top w:val="nil"/>
              <w:left w:val="nil"/>
              <w:bottom w:val="nil"/>
              <w:right w:val="nil"/>
            </w:tcBorders>
            <w:vAlign w:val="bottom"/>
          </w:tcPr>
          <w:p w14:paraId="18AEE912" w14:textId="77777777" w:rsidR="00753CD5" w:rsidRPr="00BA6F63" w:rsidRDefault="00753CD5" w:rsidP="00753CD5">
            <w:pPr>
              <w:autoSpaceDE/>
              <w:autoSpaceDN/>
              <w:adjustRightInd/>
              <w:jc w:val="right"/>
            </w:pPr>
          </w:p>
        </w:tc>
        <w:tc>
          <w:tcPr>
            <w:tcW w:w="259" w:type="dxa"/>
            <w:gridSpan w:val="2"/>
            <w:tcBorders>
              <w:top w:val="nil"/>
              <w:left w:val="nil"/>
              <w:bottom w:val="nil"/>
              <w:right w:val="nil"/>
            </w:tcBorders>
          </w:tcPr>
          <w:p w14:paraId="0F0D3E7A" w14:textId="77777777" w:rsidR="00753CD5" w:rsidRPr="00BA6F63" w:rsidRDefault="00753CD5" w:rsidP="00753CD5">
            <w:pPr>
              <w:autoSpaceDE/>
              <w:autoSpaceDN/>
              <w:adjustRightInd/>
              <w:jc w:val="right"/>
            </w:pPr>
          </w:p>
        </w:tc>
        <w:tc>
          <w:tcPr>
            <w:tcW w:w="1620" w:type="dxa"/>
            <w:tcBorders>
              <w:top w:val="nil"/>
              <w:left w:val="nil"/>
              <w:bottom w:val="nil"/>
              <w:right w:val="nil"/>
            </w:tcBorders>
            <w:shd w:val="clear" w:color="auto" w:fill="auto"/>
            <w:noWrap/>
            <w:vAlign w:val="bottom"/>
          </w:tcPr>
          <w:p w14:paraId="1BF00363" w14:textId="19AFF9C2" w:rsidR="00753CD5" w:rsidRPr="00BA6F63" w:rsidRDefault="00753CD5" w:rsidP="00753CD5">
            <w:pPr>
              <w:autoSpaceDE/>
              <w:autoSpaceDN/>
              <w:adjustRightInd/>
              <w:jc w:val="right"/>
            </w:pPr>
          </w:p>
        </w:tc>
      </w:tr>
      <w:tr w:rsidR="00753CD5" w:rsidRPr="0061112F" w14:paraId="2C8EBFB3" w14:textId="77777777" w:rsidTr="00F71D68">
        <w:trPr>
          <w:trHeight w:val="783"/>
        </w:trPr>
        <w:tc>
          <w:tcPr>
            <w:tcW w:w="4860" w:type="dxa"/>
            <w:tcBorders>
              <w:top w:val="nil"/>
              <w:left w:val="nil"/>
              <w:bottom w:val="nil"/>
              <w:right w:val="nil"/>
            </w:tcBorders>
            <w:shd w:val="clear" w:color="auto" w:fill="auto"/>
            <w:noWrap/>
            <w:vAlign w:val="bottom"/>
            <w:hideMark/>
          </w:tcPr>
          <w:p w14:paraId="6CEF34C0" w14:textId="37142A6B" w:rsidR="00753CD5" w:rsidRPr="00F16980" w:rsidRDefault="00753CD5" w:rsidP="00753CD5">
            <w:pPr>
              <w:autoSpaceDE/>
              <w:autoSpaceDN/>
              <w:adjustRightInd/>
              <w:ind w:left="288" w:hanging="144"/>
              <w:rPr>
                <w:highlight w:val="yellow"/>
              </w:rPr>
            </w:pPr>
            <w:r w:rsidRPr="00CE5D9B">
              <w:t xml:space="preserve"> </w:t>
            </w:r>
            <w:r w:rsidRPr="00045999">
              <w:t>Common stock, par value $.01, 30,000 shares authorized; 26,115 issued; and 1</w:t>
            </w:r>
            <w:r>
              <w:t>5</w:t>
            </w:r>
            <w:r w:rsidRPr="00045999">
              <w:t>,</w:t>
            </w:r>
            <w:r>
              <w:t>169</w:t>
            </w:r>
            <w:r w:rsidRPr="00045999">
              <w:t xml:space="preserve">; 16,204; and </w:t>
            </w:r>
            <w:r w:rsidRPr="00FB56B4">
              <w:t>16,623</w:t>
            </w:r>
            <w:r>
              <w:t xml:space="preserve"> </w:t>
            </w:r>
            <w:r w:rsidRPr="00045999">
              <w:t>outstanding</w:t>
            </w:r>
          </w:p>
        </w:tc>
        <w:tc>
          <w:tcPr>
            <w:tcW w:w="1620" w:type="dxa"/>
            <w:tcBorders>
              <w:top w:val="nil"/>
              <w:left w:val="nil"/>
              <w:bottom w:val="nil"/>
              <w:right w:val="nil"/>
            </w:tcBorders>
            <w:shd w:val="clear" w:color="auto" w:fill="auto"/>
            <w:noWrap/>
            <w:vAlign w:val="bottom"/>
          </w:tcPr>
          <w:p w14:paraId="2FC7956C" w14:textId="0A6DB69B" w:rsidR="00753CD5" w:rsidRPr="00BA6F63" w:rsidRDefault="00753CD5" w:rsidP="00753CD5">
            <w:pPr>
              <w:autoSpaceDE/>
              <w:autoSpaceDN/>
              <w:adjustRightInd/>
              <w:jc w:val="right"/>
            </w:pPr>
            <w:r>
              <w:t>--</w:t>
            </w:r>
          </w:p>
        </w:tc>
        <w:tc>
          <w:tcPr>
            <w:tcW w:w="236" w:type="dxa"/>
            <w:tcBorders>
              <w:top w:val="nil"/>
              <w:left w:val="nil"/>
              <w:bottom w:val="nil"/>
              <w:right w:val="nil"/>
            </w:tcBorders>
            <w:shd w:val="clear" w:color="auto" w:fill="auto"/>
            <w:noWrap/>
            <w:vAlign w:val="bottom"/>
          </w:tcPr>
          <w:p w14:paraId="16BC2AD3" w14:textId="77777777" w:rsidR="00753CD5" w:rsidRPr="00BA6F63" w:rsidRDefault="00753CD5" w:rsidP="00753CD5">
            <w:pPr>
              <w:autoSpaceDE/>
              <w:autoSpaceDN/>
              <w:adjustRightInd/>
              <w:jc w:val="right"/>
            </w:pPr>
          </w:p>
        </w:tc>
        <w:tc>
          <w:tcPr>
            <w:tcW w:w="1611" w:type="dxa"/>
            <w:gridSpan w:val="3"/>
            <w:tcBorders>
              <w:top w:val="nil"/>
              <w:left w:val="nil"/>
              <w:bottom w:val="nil"/>
              <w:right w:val="nil"/>
            </w:tcBorders>
            <w:vAlign w:val="bottom"/>
          </w:tcPr>
          <w:p w14:paraId="6E4A89EF" w14:textId="037E73C4" w:rsidR="00753CD5" w:rsidRPr="00BA6F63" w:rsidRDefault="00753CD5" w:rsidP="00753CD5">
            <w:pPr>
              <w:autoSpaceDE/>
              <w:autoSpaceDN/>
              <w:adjustRightInd/>
              <w:jc w:val="right"/>
            </w:pPr>
            <w:r>
              <w:t>--</w:t>
            </w:r>
          </w:p>
        </w:tc>
        <w:tc>
          <w:tcPr>
            <w:tcW w:w="259" w:type="dxa"/>
            <w:gridSpan w:val="2"/>
            <w:tcBorders>
              <w:top w:val="nil"/>
              <w:left w:val="nil"/>
              <w:bottom w:val="nil"/>
              <w:right w:val="nil"/>
            </w:tcBorders>
          </w:tcPr>
          <w:p w14:paraId="6AB76B50" w14:textId="77777777" w:rsidR="00753CD5" w:rsidRPr="00BA6F63" w:rsidRDefault="00753CD5" w:rsidP="00753CD5">
            <w:pPr>
              <w:autoSpaceDE/>
              <w:autoSpaceDN/>
              <w:adjustRightInd/>
              <w:jc w:val="right"/>
            </w:pPr>
          </w:p>
        </w:tc>
        <w:tc>
          <w:tcPr>
            <w:tcW w:w="1620" w:type="dxa"/>
            <w:tcBorders>
              <w:top w:val="nil"/>
              <w:left w:val="nil"/>
              <w:bottom w:val="nil"/>
              <w:right w:val="nil"/>
            </w:tcBorders>
            <w:shd w:val="clear" w:color="auto" w:fill="auto"/>
            <w:noWrap/>
            <w:vAlign w:val="bottom"/>
          </w:tcPr>
          <w:p w14:paraId="4BC3AB48" w14:textId="31C44A31" w:rsidR="00753CD5" w:rsidRPr="00BA6F63" w:rsidRDefault="00753CD5" w:rsidP="00753CD5">
            <w:pPr>
              <w:autoSpaceDE/>
              <w:autoSpaceDN/>
              <w:adjustRightInd/>
              <w:jc w:val="right"/>
            </w:pPr>
            <w:r>
              <w:t>--</w:t>
            </w:r>
          </w:p>
        </w:tc>
      </w:tr>
      <w:tr w:rsidR="00753CD5" w:rsidRPr="0061112F" w14:paraId="39BEA916" w14:textId="77777777" w:rsidTr="00F71D68">
        <w:trPr>
          <w:trHeight w:val="276"/>
        </w:trPr>
        <w:tc>
          <w:tcPr>
            <w:tcW w:w="4860" w:type="dxa"/>
            <w:tcBorders>
              <w:top w:val="nil"/>
              <w:left w:val="nil"/>
              <w:bottom w:val="nil"/>
              <w:right w:val="nil"/>
            </w:tcBorders>
            <w:shd w:val="clear" w:color="auto" w:fill="auto"/>
            <w:noWrap/>
            <w:vAlign w:val="bottom"/>
            <w:hideMark/>
          </w:tcPr>
          <w:p w14:paraId="7B5D07FF" w14:textId="77777777" w:rsidR="00753CD5" w:rsidRPr="00CE5D9B" w:rsidRDefault="00753CD5" w:rsidP="00753CD5">
            <w:pPr>
              <w:autoSpaceDE/>
              <w:autoSpaceDN/>
              <w:adjustRightInd/>
              <w:ind w:left="144"/>
            </w:pPr>
            <w:r w:rsidRPr="00CE5D9B">
              <w:t>Contributed capital</w:t>
            </w:r>
          </w:p>
        </w:tc>
        <w:tc>
          <w:tcPr>
            <w:tcW w:w="1620" w:type="dxa"/>
            <w:tcBorders>
              <w:top w:val="nil"/>
              <w:left w:val="nil"/>
              <w:bottom w:val="nil"/>
              <w:right w:val="nil"/>
            </w:tcBorders>
            <w:shd w:val="clear" w:color="auto" w:fill="auto"/>
            <w:noWrap/>
            <w:vAlign w:val="bottom"/>
          </w:tcPr>
          <w:p w14:paraId="3B08B6E6" w14:textId="5E1B002D" w:rsidR="00753CD5" w:rsidRPr="00BA6F63" w:rsidRDefault="00753CD5" w:rsidP="00753CD5">
            <w:pPr>
              <w:autoSpaceDE/>
              <w:autoSpaceDN/>
              <w:adjustRightInd/>
              <w:jc w:val="right"/>
            </w:pPr>
            <w:r>
              <w:t>5,612</w:t>
            </w:r>
          </w:p>
        </w:tc>
        <w:tc>
          <w:tcPr>
            <w:tcW w:w="236" w:type="dxa"/>
            <w:tcBorders>
              <w:top w:val="nil"/>
              <w:left w:val="nil"/>
              <w:bottom w:val="nil"/>
              <w:right w:val="nil"/>
            </w:tcBorders>
            <w:shd w:val="clear" w:color="auto" w:fill="auto"/>
            <w:noWrap/>
            <w:vAlign w:val="bottom"/>
          </w:tcPr>
          <w:p w14:paraId="585D79BC" w14:textId="77777777" w:rsidR="00753CD5" w:rsidRPr="00BA6F63" w:rsidRDefault="00753CD5" w:rsidP="00753CD5">
            <w:pPr>
              <w:autoSpaceDE/>
              <w:autoSpaceDN/>
              <w:adjustRightInd/>
              <w:jc w:val="right"/>
            </w:pPr>
          </w:p>
        </w:tc>
        <w:tc>
          <w:tcPr>
            <w:tcW w:w="1611" w:type="dxa"/>
            <w:gridSpan w:val="3"/>
            <w:tcBorders>
              <w:top w:val="nil"/>
              <w:left w:val="nil"/>
              <w:bottom w:val="nil"/>
              <w:right w:val="nil"/>
            </w:tcBorders>
            <w:vAlign w:val="bottom"/>
          </w:tcPr>
          <w:p w14:paraId="6DAE34C9" w14:textId="6343B7F2" w:rsidR="00753CD5" w:rsidRPr="00BA6F63" w:rsidRDefault="00753CD5" w:rsidP="00753CD5">
            <w:pPr>
              <w:autoSpaceDE/>
              <w:autoSpaceDN/>
              <w:adjustRightInd/>
              <w:jc w:val="right"/>
            </w:pPr>
            <w:r>
              <w:t>5,612</w:t>
            </w:r>
          </w:p>
        </w:tc>
        <w:tc>
          <w:tcPr>
            <w:tcW w:w="259" w:type="dxa"/>
            <w:gridSpan w:val="2"/>
            <w:tcBorders>
              <w:top w:val="nil"/>
              <w:left w:val="nil"/>
              <w:bottom w:val="nil"/>
              <w:right w:val="nil"/>
            </w:tcBorders>
          </w:tcPr>
          <w:p w14:paraId="2CE1263F" w14:textId="77777777" w:rsidR="00753CD5" w:rsidRPr="00BA6F63" w:rsidRDefault="00753CD5" w:rsidP="00753CD5">
            <w:pPr>
              <w:autoSpaceDE/>
              <w:autoSpaceDN/>
              <w:adjustRightInd/>
              <w:jc w:val="right"/>
            </w:pPr>
          </w:p>
        </w:tc>
        <w:tc>
          <w:tcPr>
            <w:tcW w:w="1620" w:type="dxa"/>
            <w:tcBorders>
              <w:top w:val="nil"/>
              <w:left w:val="nil"/>
              <w:bottom w:val="nil"/>
              <w:right w:val="nil"/>
            </w:tcBorders>
            <w:shd w:val="clear" w:color="auto" w:fill="auto"/>
            <w:noWrap/>
            <w:vAlign w:val="bottom"/>
          </w:tcPr>
          <w:p w14:paraId="1513F585" w14:textId="221616C4" w:rsidR="00753CD5" w:rsidRPr="00BA6F63" w:rsidRDefault="00753CD5" w:rsidP="00753CD5">
            <w:pPr>
              <w:autoSpaceDE/>
              <w:autoSpaceDN/>
              <w:adjustRightInd/>
              <w:jc w:val="right"/>
            </w:pPr>
            <w:r>
              <w:t>5,612</w:t>
            </w:r>
          </w:p>
        </w:tc>
      </w:tr>
      <w:tr w:rsidR="00753CD5" w:rsidRPr="0061112F" w14:paraId="0C8D5802" w14:textId="77777777" w:rsidTr="00F71D68">
        <w:trPr>
          <w:trHeight w:val="276"/>
        </w:trPr>
        <w:tc>
          <w:tcPr>
            <w:tcW w:w="4860" w:type="dxa"/>
            <w:tcBorders>
              <w:top w:val="nil"/>
              <w:left w:val="nil"/>
              <w:bottom w:val="nil"/>
              <w:right w:val="nil"/>
            </w:tcBorders>
            <w:shd w:val="clear" w:color="auto" w:fill="auto"/>
            <w:noWrap/>
            <w:vAlign w:val="bottom"/>
            <w:hideMark/>
          </w:tcPr>
          <w:p w14:paraId="6DFBEB31" w14:textId="77777777" w:rsidR="00753CD5" w:rsidRPr="00CE5D9B" w:rsidRDefault="00753CD5" w:rsidP="00753CD5">
            <w:pPr>
              <w:autoSpaceDE/>
              <w:autoSpaceDN/>
              <w:adjustRightInd/>
              <w:ind w:left="144"/>
            </w:pPr>
            <w:r w:rsidRPr="00CE5D9B">
              <w:t>Retained earnings</w:t>
            </w:r>
          </w:p>
        </w:tc>
        <w:tc>
          <w:tcPr>
            <w:tcW w:w="1620" w:type="dxa"/>
            <w:tcBorders>
              <w:top w:val="nil"/>
              <w:left w:val="nil"/>
              <w:bottom w:val="nil"/>
              <w:right w:val="nil"/>
            </w:tcBorders>
            <w:shd w:val="clear" w:color="auto" w:fill="auto"/>
            <w:noWrap/>
            <w:vAlign w:val="bottom"/>
          </w:tcPr>
          <w:p w14:paraId="747AAA56" w14:textId="4FCF4FB0" w:rsidR="00753CD5" w:rsidRPr="00BA6F63" w:rsidRDefault="00753CD5" w:rsidP="00753CD5">
            <w:pPr>
              <w:autoSpaceDE/>
              <w:autoSpaceDN/>
              <w:adjustRightInd/>
              <w:jc w:val="right"/>
            </w:pPr>
            <w:r>
              <w:t>37,469</w:t>
            </w:r>
          </w:p>
        </w:tc>
        <w:tc>
          <w:tcPr>
            <w:tcW w:w="236" w:type="dxa"/>
            <w:tcBorders>
              <w:top w:val="nil"/>
              <w:left w:val="nil"/>
              <w:bottom w:val="nil"/>
              <w:right w:val="nil"/>
            </w:tcBorders>
            <w:shd w:val="clear" w:color="auto" w:fill="auto"/>
            <w:noWrap/>
            <w:vAlign w:val="bottom"/>
          </w:tcPr>
          <w:p w14:paraId="20E5A90B" w14:textId="77777777" w:rsidR="00753CD5" w:rsidRPr="00BA6F63" w:rsidRDefault="00753CD5" w:rsidP="00753CD5">
            <w:pPr>
              <w:autoSpaceDE/>
              <w:autoSpaceDN/>
              <w:adjustRightInd/>
              <w:jc w:val="right"/>
            </w:pPr>
          </w:p>
        </w:tc>
        <w:tc>
          <w:tcPr>
            <w:tcW w:w="1611" w:type="dxa"/>
            <w:gridSpan w:val="3"/>
            <w:tcBorders>
              <w:top w:val="nil"/>
              <w:left w:val="nil"/>
              <w:bottom w:val="nil"/>
              <w:right w:val="nil"/>
            </w:tcBorders>
            <w:vAlign w:val="bottom"/>
          </w:tcPr>
          <w:p w14:paraId="4D406447" w14:textId="4E379636" w:rsidR="00753CD5" w:rsidRPr="00BA6F63" w:rsidRDefault="00753CD5" w:rsidP="00753CD5">
            <w:pPr>
              <w:autoSpaceDE/>
              <w:autoSpaceDN/>
              <w:adjustRightInd/>
              <w:jc w:val="right"/>
            </w:pPr>
            <w:r>
              <w:t>37,565</w:t>
            </w:r>
          </w:p>
        </w:tc>
        <w:tc>
          <w:tcPr>
            <w:tcW w:w="259" w:type="dxa"/>
            <w:gridSpan w:val="2"/>
            <w:tcBorders>
              <w:top w:val="nil"/>
              <w:left w:val="nil"/>
              <w:bottom w:val="nil"/>
              <w:right w:val="nil"/>
            </w:tcBorders>
          </w:tcPr>
          <w:p w14:paraId="0D975156" w14:textId="77777777" w:rsidR="00753CD5" w:rsidRPr="00BA6F63" w:rsidRDefault="00753CD5" w:rsidP="00753CD5">
            <w:pPr>
              <w:autoSpaceDE/>
              <w:autoSpaceDN/>
              <w:adjustRightInd/>
              <w:jc w:val="right"/>
            </w:pPr>
          </w:p>
        </w:tc>
        <w:tc>
          <w:tcPr>
            <w:tcW w:w="1620" w:type="dxa"/>
            <w:tcBorders>
              <w:top w:val="nil"/>
              <w:left w:val="nil"/>
              <w:bottom w:val="nil"/>
              <w:right w:val="nil"/>
            </w:tcBorders>
            <w:shd w:val="clear" w:color="auto" w:fill="auto"/>
            <w:noWrap/>
            <w:vAlign w:val="bottom"/>
          </w:tcPr>
          <w:p w14:paraId="2592D1F5" w14:textId="7D7002EB" w:rsidR="00753CD5" w:rsidRPr="00BA6F63" w:rsidRDefault="00753CD5" w:rsidP="00753CD5">
            <w:pPr>
              <w:autoSpaceDE/>
              <w:autoSpaceDN/>
              <w:adjustRightInd/>
              <w:jc w:val="right"/>
            </w:pPr>
            <w:r>
              <w:t>37,519</w:t>
            </w:r>
          </w:p>
        </w:tc>
      </w:tr>
      <w:tr w:rsidR="00753CD5" w:rsidRPr="0061112F" w14:paraId="73DA1A5E" w14:textId="77777777" w:rsidTr="00F71D68">
        <w:trPr>
          <w:trHeight w:val="276"/>
        </w:trPr>
        <w:tc>
          <w:tcPr>
            <w:tcW w:w="4860" w:type="dxa"/>
            <w:tcBorders>
              <w:top w:val="nil"/>
              <w:left w:val="nil"/>
              <w:bottom w:val="nil"/>
              <w:right w:val="nil"/>
            </w:tcBorders>
            <w:shd w:val="clear" w:color="auto" w:fill="auto"/>
            <w:noWrap/>
            <w:vAlign w:val="bottom"/>
            <w:hideMark/>
          </w:tcPr>
          <w:p w14:paraId="49D9C128" w14:textId="38D98A0A" w:rsidR="00753CD5" w:rsidRPr="00CE5D9B" w:rsidRDefault="00753CD5" w:rsidP="00753CD5">
            <w:pPr>
              <w:autoSpaceDE/>
              <w:autoSpaceDN/>
              <w:adjustRightInd/>
              <w:ind w:left="288" w:hanging="144"/>
            </w:pPr>
            <w:r w:rsidRPr="00CE5D9B">
              <w:t>Treasury stock, 10,</w:t>
            </w:r>
            <w:r>
              <w:t>947</w:t>
            </w:r>
            <w:r w:rsidRPr="00CE5D9B">
              <w:t xml:space="preserve">; </w:t>
            </w:r>
            <w:r w:rsidRPr="00F71BC6">
              <w:t>9,912</w:t>
            </w:r>
            <w:r w:rsidRPr="00CE5D9B">
              <w:t xml:space="preserve">; and </w:t>
            </w:r>
            <w:r w:rsidRPr="00F71BC6">
              <w:t>9,</w:t>
            </w:r>
            <w:r>
              <w:t>493</w:t>
            </w:r>
          </w:p>
          <w:p w14:paraId="2575FA74" w14:textId="33C5E472" w:rsidR="00753CD5" w:rsidRPr="00CE5D9B" w:rsidRDefault="00753CD5" w:rsidP="00753CD5">
            <w:pPr>
              <w:autoSpaceDE/>
              <w:autoSpaceDN/>
              <w:adjustRightInd/>
              <w:ind w:left="288" w:hanging="144"/>
            </w:pPr>
            <w:r w:rsidRPr="00CE5D9B">
              <w:t xml:space="preserve"> shares at cost</w:t>
            </w:r>
          </w:p>
        </w:tc>
        <w:tc>
          <w:tcPr>
            <w:tcW w:w="1620" w:type="dxa"/>
            <w:tcBorders>
              <w:top w:val="nil"/>
              <w:left w:val="nil"/>
              <w:bottom w:val="single" w:sz="4" w:space="0" w:color="auto"/>
              <w:right w:val="nil"/>
            </w:tcBorders>
            <w:shd w:val="clear" w:color="auto" w:fill="auto"/>
            <w:noWrap/>
            <w:vAlign w:val="bottom"/>
          </w:tcPr>
          <w:p w14:paraId="3A15F0AF" w14:textId="480841E0" w:rsidR="00753CD5" w:rsidRPr="00BA6F63" w:rsidRDefault="00753CD5" w:rsidP="00753CD5">
            <w:pPr>
              <w:autoSpaceDE/>
              <w:autoSpaceDN/>
              <w:adjustRightInd/>
              <w:jc w:val="right"/>
            </w:pPr>
            <w:r>
              <w:t>(13,979)</w:t>
            </w:r>
          </w:p>
        </w:tc>
        <w:tc>
          <w:tcPr>
            <w:tcW w:w="236" w:type="dxa"/>
            <w:tcBorders>
              <w:top w:val="nil"/>
              <w:left w:val="nil"/>
              <w:bottom w:val="nil"/>
              <w:right w:val="nil"/>
            </w:tcBorders>
            <w:shd w:val="clear" w:color="auto" w:fill="auto"/>
            <w:noWrap/>
            <w:vAlign w:val="bottom"/>
          </w:tcPr>
          <w:p w14:paraId="76BF3A6B" w14:textId="77777777" w:rsidR="00753CD5" w:rsidRPr="00BA6F63" w:rsidRDefault="00753CD5" w:rsidP="00753CD5">
            <w:pPr>
              <w:autoSpaceDE/>
              <w:autoSpaceDN/>
              <w:adjustRightInd/>
              <w:jc w:val="right"/>
            </w:pPr>
          </w:p>
        </w:tc>
        <w:tc>
          <w:tcPr>
            <w:tcW w:w="1611" w:type="dxa"/>
            <w:gridSpan w:val="3"/>
            <w:tcBorders>
              <w:top w:val="nil"/>
              <w:left w:val="nil"/>
              <w:bottom w:val="single" w:sz="4" w:space="0" w:color="auto"/>
              <w:right w:val="nil"/>
            </w:tcBorders>
            <w:vAlign w:val="bottom"/>
          </w:tcPr>
          <w:p w14:paraId="23136FF2" w14:textId="43F89D34" w:rsidR="00753CD5" w:rsidRPr="00BA6F63" w:rsidRDefault="00753CD5" w:rsidP="00753CD5">
            <w:pPr>
              <w:autoSpaceDE/>
              <w:autoSpaceDN/>
              <w:adjustRightInd/>
              <w:jc w:val="right"/>
            </w:pPr>
            <w:r>
              <w:t>(12,138)</w:t>
            </w:r>
          </w:p>
        </w:tc>
        <w:tc>
          <w:tcPr>
            <w:tcW w:w="259" w:type="dxa"/>
            <w:gridSpan w:val="2"/>
            <w:tcBorders>
              <w:top w:val="nil"/>
              <w:left w:val="nil"/>
              <w:right w:val="nil"/>
            </w:tcBorders>
          </w:tcPr>
          <w:p w14:paraId="12FCE861" w14:textId="77777777" w:rsidR="00753CD5" w:rsidRPr="00BA6F63" w:rsidRDefault="00753CD5" w:rsidP="00753CD5">
            <w:pPr>
              <w:autoSpaceDE/>
              <w:autoSpaceDN/>
              <w:adjustRightInd/>
              <w:jc w:val="right"/>
            </w:pPr>
          </w:p>
        </w:tc>
        <w:tc>
          <w:tcPr>
            <w:tcW w:w="1620" w:type="dxa"/>
            <w:tcBorders>
              <w:top w:val="nil"/>
              <w:left w:val="nil"/>
              <w:bottom w:val="single" w:sz="4" w:space="0" w:color="auto"/>
              <w:right w:val="nil"/>
            </w:tcBorders>
            <w:shd w:val="clear" w:color="auto" w:fill="auto"/>
            <w:noWrap/>
            <w:vAlign w:val="bottom"/>
          </w:tcPr>
          <w:p w14:paraId="21311AB3" w14:textId="375010E7" w:rsidR="00753CD5" w:rsidRPr="00BA6F63" w:rsidRDefault="00753CD5" w:rsidP="00753CD5">
            <w:pPr>
              <w:autoSpaceDE/>
              <w:autoSpaceDN/>
              <w:adjustRightInd/>
              <w:jc w:val="right"/>
            </w:pPr>
            <w:r>
              <w:t>(11,404)</w:t>
            </w:r>
          </w:p>
        </w:tc>
      </w:tr>
      <w:tr w:rsidR="00753CD5" w:rsidRPr="0061112F" w14:paraId="347A828C" w14:textId="77777777" w:rsidTr="00F71D68">
        <w:trPr>
          <w:trHeight w:val="276"/>
        </w:trPr>
        <w:tc>
          <w:tcPr>
            <w:tcW w:w="4860" w:type="dxa"/>
            <w:tcBorders>
              <w:top w:val="nil"/>
              <w:left w:val="nil"/>
              <w:bottom w:val="nil"/>
              <w:right w:val="nil"/>
            </w:tcBorders>
            <w:shd w:val="clear" w:color="auto" w:fill="auto"/>
            <w:noWrap/>
            <w:vAlign w:val="bottom"/>
            <w:hideMark/>
          </w:tcPr>
          <w:p w14:paraId="11328415" w14:textId="3DD1E894" w:rsidR="00753CD5" w:rsidRPr="00CE5D9B" w:rsidRDefault="00753CD5" w:rsidP="00753CD5">
            <w:pPr>
              <w:autoSpaceDE/>
              <w:autoSpaceDN/>
              <w:adjustRightInd/>
              <w:ind w:left="288"/>
            </w:pPr>
            <w:r w:rsidRPr="00CE5D9B">
              <w:t>Total Stockholders' Equity</w:t>
            </w:r>
          </w:p>
        </w:tc>
        <w:tc>
          <w:tcPr>
            <w:tcW w:w="1620" w:type="dxa"/>
            <w:tcBorders>
              <w:top w:val="nil"/>
              <w:left w:val="nil"/>
              <w:bottom w:val="nil"/>
              <w:right w:val="nil"/>
            </w:tcBorders>
            <w:shd w:val="clear" w:color="auto" w:fill="auto"/>
            <w:noWrap/>
            <w:vAlign w:val="bottom"/>
          </w:tcPr>
          <w:p w14:paraId="5A01DDE3" w14:textId="71EDB54D" w:rsidR="00753CD5" w:rsidRPr="00BA6F63" w:rsidRDefault="00753CD5" w:rsidP="00753CD5">
            <w:pPr>
              <w:autoSpaceDE/>
              <w:autoSpaceDN/>
              <w:adjustRightInd/>
              <w:jc w:val="right"/>
            </w:pPr>
            <w:r>
              <w:t>29,102</w:t>
            </w:r>
          </w:p>
        </w:tc>
        <w:tc>
          <w:tcPr>
            <w:tcW w:w="236" w:type="dxa"/>
            <w:tcBorders>
              <w:top w:val="nil"/>
              <w:left w:val="nil"/>
              <w:bottom w:val="nil"/>
              <w:right w:val="nil"/>
            </w:tcBorders>
            <w:shd w:val="clear" w:color="auto" w:fill="auto"/>
            <w:noWrap/>
            <w:vAlign w:val="bottom"/>
          </w:tcPr>
          <w:p w14:paraId="14AA3984" w14:textId="77777777" w:rsidR="00753CD5" w:rsidRPr="00BA6F63" w:rsidRDefault="00753CD5" w:rsidP="00753CD5">
            <w:pPr>
              <w:autoSpaceDE/>
              <w:autoSpaceDN/>
              <w:adjustRightInd/>
              <w:jc w:val="right"/>
            </w:pPr>
          </w:p>
        </w:tc>
        <w:tc>
          <w:tcPr>
            <w:tcW w:w="1611" w:type="dxa"/>
            <w:gridSpan w:val="3"/>
            <w:tcBorders>
              <w:top w:val="nil"/>
              <w:left w:val="nil"/>
              <w:bottom w:val="nil"/>
              <w:right w:val="nil"/>
            </w:tcBorders>
            <w:vAlign w:val="bottom"/>
          </w:tcPr>
          <w:p w14:paraId="45D1E8BB" w14:textId="518D6219" w:rsidR="00753CD5" w:rsidRPr="00BA6F63" w:rsidRDefault="00753CD5" w:rsidP="00753CD5">
            <w:pPr>
              <w:autoSpaceDE/>
              <w:autoSpaceDN/>
              <w:adjustRightInd/>
              <w:jc w:val="right"/>
            </w:pPr>
            <w:r>
              <w:t>31,039</w:t>
            </w:r>
          </w:p>
        </w:tc>
        <w:tc>
          <w:tcPr>
            <w:tcW w:w="259" w:type="dxa"/>
            <w:gridSpan w:val="2"/>
            <w:tcBorders>
              <w:top w:val="nil"/>
              <w:left w:val="nil"/>
              <w:bottom w:val="nil"/>
              <w:right w:val="nil"/>
            </w:tcBorders>
          </w:tcPr>
          <w:p w14:paraId="375377B5" w14:textId="77777777" w:rsidR="00753CD5" w:rsidRPr="00BA6F63" w:rsidRDefault="00753CD5" w:rsidP="00753CD5">
            <w:pPr>
              <w:autoSpaceDE/>
              <w:autoSpaceDN/>
              <w:adjustRightInd/>
              <w:jc w:val="right"/>
            </w:pPr>
          </w:p>
        </w:tc>
        <w:tc>
          <w:tcPr>
            <w:tcW w:w="1620" w:type="dxa"/>
            <w:tcBorders>
              <w:top w:val="nil"/>
              <w:left w:val="nil"/>
              <w:bottom w:val="nil"/>
              <w:right w:val="nil"/>
            </w:tcBorders>
            <w:shd w:val="clear" w:color="auto" w:fill="auto"/>
            <w:noWrap/>
            <w:vAlign w:val="bottom"/>
          </w:tcPr>
          <w:p w14:paraId="616D2D94" w14:textId="0711888A" w:rsidR="00753CD5" w:rsidRPr="00BA6F63" w:rsidRDefault="00753CD5" w:rsidP="00753CD5">
            <w:pPr>
              <w:autoSpaceDE/>
              <w:autoSpaceDN/>
              <w:adjustRightInd/>
              <w:jc w:val="right"/>
            </w:pPr>
            <w:r>
              <w:t>31,727</w:t>
            </w:r>
          </w:p>
        </w:tc>
      </w:tr>
      <w:tr w:rsidR="00753CD5" w:rsidRPr="0061112F" w14:paraId="3EFADF3F" w14:textId="77777777" w:rsidTr="003A1E17">
        <w:trPr>
          <w:trHeight w:val="276"/>
        </w:trPr>
        <w:tc>
          <w:tcPr>
            <w:tcW w:w="4860" w:type="dxa"/>
            <w:tcBorders>
              <w:top w:val="nil"/>
              <w:left w:val="nil"/>
              <w:bottom w:val="nil"/>
              <w:right w:val="nil"/>
            </w:tcBorders>
            <w:shd w:val="clear" w:color="auto" w:fill="auto"/>
            <w:noWrap/>
            <w:vAlign w:val="bottom"/>
            <w:hideMark/>
          </w:tcPr>
          <w:p w14:paraId="53666E36" w14:textId="454CB09F" w:rsidR="00753CD5" w:rsidRPr="00F71BC6" w:rsidRDefault="00753CD5" w:rsidP="00753CD5">
            <w:pPr>
              <w:autoSpaceDE/>
              <w:autoSpaceDN/>
              <w:adjustRightInd/>
              <w:jc w:val="both"/>
            </w:pPr>
            <w:r w:rsidRPr="00F71BC6">
              <w:t xml:space="preserve">     Total Liabilities and Equity  </w:t>
            </w:r>
          </w:p>
        </w:tc>
        <w:tc>
          <w:tcPr>
            <w:tcW w:w="1620" w:type="dxa"/>
            <w:tcBorders>
              <w:top w:val="single" w:sz="4" w:space="0" w:color="auto"/>
              <w:left w:val="nil"/>
              <w:bottom w:val="single" w:sz="4" w:space="0" w:color="auto"/>
              <w:right w:val="nil"/>
            </w:tcBorders>
            <w:shd w:val="clear" w:color="auto" w:fill="auto"/>
            <w:noWrap/>
            <w:vAlign w:val="bottom"/>
          </w:tcPr>
          <w:p w14:paraId="1B9F0175" w14:textId="12902830" w:rsidR="00753CD5" w:rsidRPr="00BA6F63" w:rsidRDefault="00753CD5" w:rsidP="00753CD5">
            <w:pPr>
              <w:autoSpaceDE/>
              <w:autoSpaceDN/>
              <w:adjustRightInd/>
              <w:jc w:val="right"/>
            </w:pPr>
            <w:r>
              <w:t>$29,815</w:t>
            </w:r>
          </w:p>
        </w:tc>
        <w:tc>
          <w:tcPr>
            <w:tcW w:w="236" w:type="dxa"/>
            <w:tcBorders>
              <w:top w:val="nil"/>
              <w:left w:val="nil"/>
              <w:bottom w:val="nil"/>
              <w:right w:val="nil"/>
            </w:tcBorders>
            <w:shd w:val="clear" w:color="auto" w:fill="auto"/>
            <w:noWrap/>
            <w:vAlign w:val="bottom"/>
          </w:tcPr>
          <w:p w14:paraId="3E07B84D" w14:textId="77777777" w:rsidR="00753CD5" w:rsidRPr="00BA6F63" w:rsidRDefault="00753CD5" w:rsidP="00753CD5">
            <w:pPr>
              <w:autoSpaceDE/>
              <w:autoSpaceDN/>
              <w:adjustRightInd/>
              <w:jc w:val="right"/>
            </w:pPr>
          </w:p>
        </w:tc>
        <w:tc>
          <w:tcPr>
            <w:tcW w:w="1611" w:type="dxa"/>
            <w:gridSpan w:val="3"/>
            <w:tcBorders>
              <w:top w:val="single" w:sz="4" w:space="0" w:color="auto"/>
              <w:left w:val="nil"/>
              <w:bottom w:val="single" w:sz="4" w:space="0" w:color="auto"/>
              <w:right w:val="nil"/>
            </w:tcBorders>
            <w:vAlign w:val="bottom"/>
          </w:tcPr>
          <w:p w14:paraId="5FEC973F" w14:textId="4E5685D8" w:rsidR="00753CD5" w:rsidRPr="00BA6F63" w:rsidRDefault="00753CD5" w:rsidP="00753CD5">
            <w:pPr>
              <w:autoSpaceDE/>
              <w:autoSpaceDN/>
              <w:adjustRightInd/>
              <w:jc w:val="right"/>
            </w:pPr>
            <w:r>
              <w:t>$31,692</w:t>
            </w:r>
          </w:p>
        </w:tc>
        <w:tc>
          <w:tcPr>
            <w:tcW w:w="259" w:type="dxa"/>
            <w:gridSpan w:val="2"/>
            <w:tcBorders>
              <w:left w:val="nil"/>
              <w:right w:val="nil"/>
            </w:tcBorders>
          </w:tcPr>
          <w:p w14:paraId="6F493F45" w14:textId="77777777" w:rsidR="00753CD5" w:rsidRPr="00BA6F63" w:rsidRDefault="00753CD5" w:rsidP="00753CD5">
            <w:pPr>
              <w:autoSpaceDE/>
              <w:autoSpaceDN/>
              <w:adjustRightInd/>
              <w:jc w:val="right"/>
            </w:pPr>
          </w:p>
        </w:tc>
        <w:tc>
          <w:tcPr>
            <w:tcW w:w="1620" w:type="dxa"/>
            <w:tcBorders>
              <w:top w:val="single" w:sz="4" w:space="0" w:color="auto"/>
              <w:left w:val="nil"/>
              <w:bottom w:val="single" w:sz="4" w:space="0" w:color="auto"/>
              <w:right w:val="nil"/>
            </w:tcBorders>
            <w:shd w:val="clear" w:color="auto" w:fill="auto"/>
            <w:noWrap/>
            <w:vAlign w:val="bottom"/>
          </w:tcPr>
          <w:p w14:paraId="493630CC" w14:textId="17BA29C3" w:rsidR="00753CD5" w:rsidRPr="00BA6F63" w:rsidRDefault="00753CD5" w:rsidP="00753CD5">
            <w:pPr>
              <w:autoSpaceDE/>
              <w:autoSpaceDN/>
              <w:adjustRightInd/>
              <w:jc w:val="right"/>
            </w:pPr>
            <w:r>
              <w:t>32,481</w:t>
            </w:r>
          </w:p>
        </w:tc>
      </w:tr>
      <w:tr w:rsidR="003A1E17" w:rsidRPr="0061112F" w14:paraId="1C9C3E9F" w14:textId="77777777" w:rsidTr="00F71D68">
        <w:trPr>
          <w:trHeight w:val="276"/>
        </w:trPr>
        <w:tc>
          <w:tcPr>
            <w:tcW w:w="4860" w:type="dxa"/>
            <w:tcBorders>
              <w:top w:val="nil"/>
              <w:left w:val="nil"/>
              <w:bottom w:val="nil"/>
              <w:right w:val="nil"/>
            </w:tcBorders>
            <w:shd w:val="clear" w:color="auto" w:fill="auto"/>
            <w:noWrap/>
            <w:vAlign w:val="bottom"/>
          </w:tcPr>
          <w:p w14:paraId="48FCD4D9" w14:textId="05679AA4" w:rsidR="003A1E17" w:rsidRPr="00F71BC6" w:rsidRDefault="003A1E17" w:rsidP="00753CD5">
            <w:pPr>
              <w:autoSpaceDE/>
              <w:autoSpaceDN/>
              <w:adjustRightInd/>
              <w:jc w:val="both"/>
            </w:pPr>
            <w:r w:rsidRPr="00F71D68">
              <w:rPr>
                <w:i/>
                <w:iCs/>
              </w:rPr>
              <w:t>See notes to consolidated financial statements</w:t>
            </w:r>
          </w:p>
        </w:tc>
        <w:tc>
          <w:tcPr>
            <w:tcW w:w="1620" w:type="dxa"/>
            <w:tcBorders>
              <w:top w:val="single" w:sz="4" w:space="0" w:color="auto"/>
              <w:left w:val="nil"/>
              <w:bottom w:val="double" w:sz="4" w:space="0" w:color="auto"/>
              <w:right w:val="nil"/>
            </w:tcBorders>
            <w:shd w:val="clear" w:color="auto" w:fill="auto"/>
            <w:noWrap/>
            <w:vAlign w:val="bottom"/>
          </w:tcPr>
          <w:p w14:paraId="267E57F5" w14:textId="77777777" w:rsidR="003A1E17" w:rsidRDefault="003A1E17" w:rsidP="00753CD5">
            <w:pPr>
              <w:autoSpaceDE/>
              <w:autoSpaceDN/>
              <w:adjustRightInd/>
              <w:jc w:val="right"/>
            </w:pPr>
          </w:p>
        </w:tc>
        <w:tc>
          <w:tcPr>
            <w:tcW w:w="236" w:type="dxa"/>
            <w:tcBorders>
              <w:top w:val="nil"/>
              <w:left w:val="nil"/>
              <w:right w:val="nil"/>
            </w:tcBorders>
            <w:shd w:val="clear" w:color="auto" w:fill="auto"/>
            <w:noWrap/>
            <w:vAlign w:val="bottom"/>
          </w:tcPr>
          <w:p w14:paraId="580124A6" w14:textId="77777777" w:rsidR="003A1E17" w:rsidRPr="00BA6F63" w:rsidRDefault="003A1E17" w:rsidP="00753CD5">
            <w:pPr>
              <w:autoSpaceDE/>
              <w:autoSpaceDN/>
              <w:adjustRightInd/>
              <w:jc w:val="right"/>
            </w:pPr>
          </w:p>
        </w:tc>
        <w:tc>
          <w:tcPr>
            <w:tcW w:w="1611" w:type="dxa"/>
            <w:gridSpan w:val="3"/>
            <w:tcBorders>
              <w:top w:val="single" w:sz="4" w:space="0" w:color="auto"/>
              <w:left w:val="nil"/>
              <w:bottom w:val="double" w:sz="4" w:space="0" w:color="auto"/>
              <w:right w:val="nil"/>
            </w:tcBorders>
            <w:vAlign w:val="bottom"/>
          </w:tcPr>
          <w:p w14:paraId="3EE7DB8E" w14:textId="77777777" w:rsidR="003A1E17" w:rsidRDefault="003A1E17" w:rsidP="00753CD5">
            <w:pPr>
              <w:autoSpaceDE/>
              <w:autoSpaceDN/>
              <w:adjustRightInd/>
              <w:jc w:val="right"/>
            </w:pPr>
          </w:p>
        </w:tc>
        <w:tc>
          <w:tcPr>
            <w:tcW w:w="259" w:type="dxa"/>
            <w:gridSpan w:val="2"/>
            <w:tcBorders>
              <w:left w:val="nil"/>
              <w:right w:val="nil"/>
            </w:tcBorders>
          </w:tcPr>
          <w:p w14:paraId="5FDEBBF6" w14:textId="77777777" w:rsidR="003A1E17" w:rsidRPr="00BA6F63" w:rsidRDefault="003A1E17" w:rsidP="00753CD5">
            <w:pPr>
              <w:autoSpaceDE/>
              <w:autoSpaceDN/>
              <w:adjustRightInd/>
              <w:jc w:val="right"/>
            </w:pPr>
          </w:p>
        </w:tc>
        <w:tc>
          <w:tcPr>
            <w:tcW w:w="1620" w:type="dxa"/>
            <w:tcBorders>
              <w:top w:val="single" w:sz="4" w:space="0" w:color="auto"/>
              <w:left w:val="nil"/>
              <w:bottom w:val="double" w:sz="4" w:space="0" w:color="auto"/>
              <w:right w:val="nil"/>
            </w:tcBorders>
            <w:shd w:val="clear" w:color="auto" w:fill="auto"/>
            <w:noWrap/>
            <w:vAlign w:val="bottom"/>
          </w:tcPr>
          <w:p w14:paraId="7EDDC35A" w14:textId="77777777" w:rsidR="003A1E17" w:rsidRDefault="003A1E17" w:rsidP="00753CD5">
            <w:pPr>
              <w:autoSpaceDE/>
              <w:autoSpaceDN/>
              <w:adjustRightInd/>
              <w:jc w:val="right"/>
            </w:pPr>
          </w:p>
        </w:tc>
      </w:tr>
    </w:tbl>
    <w:p w14:paraId="59D51DD2" w14:textId="77777777" w:rsidR="00475ADE" w:rsidRDefault="00475ADE" w:rsidP="00475ADE">
      <w:pPr>
        <w:autoSpaceDE/>
        <w:autoSpaceDN/>
        <w:adjustRightInd/>
        <w:jc w:val="both"/>
      </w:pPr>
    </w:p>
    <w:p w14:paraId="6BF51861" w14:textId="62C5D5F5" w:rsidR="00206116" w:rsidRDefault="00206116" w:rsidP="00206116">
      <w:pPr>
        <w:autoSpaceDE/>
        <w:autoSpaceDN/>
        <w:adjustRightInd/>
        <w:ind w:left="720"/>
        <w:jc w:val="both"/>
      </w:pPr>
    </w:p>
    <w:p w14:paraId="5AAE1189" w14:textId="62E3A66F" w:rsidR="00DF1D6C" w:rsidRDefault="00DF1D6C" w:rsidP="00206116">
      <w:pPr>
        <w:autoSpaceDE/>
        <w:autoSpaceDN/>
        <w:adjustRightInd/>
        <w:ind w:left="720"/>
        <w:jc w:val="both"/>
      </w:pPr>
    </w:p>
    <w:tbl>
      <w:tblPr>
        <w:tblW w:w="9900" w:type="dxa"/>
        <w:tblLook w:val="04A0" w:firstRow="1" w:lastRow="0" w:firstColumn="1" w:lastColumn="0" w:noHBand="0" w:noVBand="1"/>
      </w:tblPr>
      <w:tblGrid>
        <w:gridCol w:w="4587"/>
        <w:gridCol w:w="1152"/>
        <w:gridCol w:w="276"/>
        <w:gridCol w:w="1095"/>
        <w:gridCol w:w="270"/>
        <w:gridCol w:w="1170"/>
        <w:gridCol w:w="270"/>
        <w:gridCol w:w="1080"/>
      </w:tblGrid>
      <w:tr w:rsidR="00777D38" w:rsidRPr="0061112F" w14:paraId="43F13301" w14:textId="77777777" w:rsidTr="00FC19FE">
        <w:trPr>
          <w:trHeight w:val="288"/>
        </w:trPr>
        <w:tc>
          <w:tcPr>
            <w:tcW w:w="4587" w:type="dxa"/>
            <w:tcBorders>
              <w:top w:val="nil"/>
              <w:left w:val="nil"/>
              <w:bottom w:val="nil"/>
              <w:right w:val="nil"/>
            </w:tcBorders>
            <w:noWrap/>
            <w:vAlign w:val="bottom"/>
            <w:hideMark/>
          </w:tcPr>
          <w:p w14:paraId="1D7C2E48" w14:textId="77777777" w:rsidR="00777D38" w:rsidRPr="004B1A43" w:rsidRDefault="00777D38" w:rsidP="00D90E2C">
            <w:pPr>
              <w:autoSpaceDE/>
              <w:autoSpaceDN/>
              <w:adjustRightInd/>
              <w:jc w:val="both"/>
            </w:pPr>
          </w:p>
        </w:tc>
        <w:tc>
          <w:tcPr>
            <w:tcW w:w="2523" w:type="dxa"/>
            <w:gridSpan w:val="3"/>
            <w:tcBorders>
              <w:top w:val="nil"/>
              <w:left w:val="nil"/>
              <w:bottom w:val="single" w:sz="4" w:space="0" w:color="auto"/>
              <w:right w:val="nil"/>
            </w:tcBorders>
            <w:noWrap/>
            <w:vAlign w:val="bottom"/>
            <w:hideMark/>
          </w:tcPr>
          <w:p w14:paraId="40085473" w14:textId="77777777" w:rsidR="00777D38" w:rsidRDefault="00777D38" w:rsidP="00D90E2C">
            <w:pPr>
              <w:autoSpaceDE/>
              <w:autoSpaceDN/>
              <w:adjustRightInd/>
              <w:jc w:val="center"/>
            </w:pPr>
            <w:r>
              <w:t>Three Months E</w:t>
            </w:r>
            <w:r w:rsidRPr="004B1A43">
              <w:t>nded</w:t>
            </w:r>
          </w:p>
          <w:p w14:paraId="1A9CA6E2" w14:textId="71FB7AC2" w:rsidR="00777D38" w:rsidRPr="004B1A43" w:rsidRDefault="00777D38" w:rsidP="00D90E2C">
            <w:pPr>
              <w:autoSpaceDE/>
              <w:autoSpaceDN/>
              <w:adjustRightInd/>
              <w:jc w:val="center"/>
            </w:pPr>
            <w:r w:rsidRPr="004B1A43">
              <w:t xml:space="preserve"> </w:t>
            </w:r>
            <w:r w:rsidR="00E831D2">
              <w:t>September</w:t>
            </w:r>
            <w:r>
              <w:t xml:space="preserve"> </w:t>
            </w:r>
            <w:r w:rsidRPr="004B1A43">
              <w:t>3</w:t>
            </w:r>
            <w:r>
              <w:t>0</w:t>
            </w:r>
            <w:r w:rsidRPr="004B1A43">
              <w:t>,</w:t>
            </w:r>
          </w:p>
        </w:tc>
        <w:tc>
          <w:tcPr>
            <w:tcW w:w="270" w:type="dxa"/>
            <w:tcBorders>
              <w:top w:val="nil"/>
              <w:left w:val="nil"/>
              <w:right w:val="nil"/>
            </w:tcBorders>
          </w:tcPr>
          <w:p w14:paraId="06BADD2F" w14:textId="77777777" w:rsidR="00777D38" w:rsidRDefault="00777D38" w:rsidP="00D90E2C">
            <w:pPr>
              <w:autoSpaceDE/>
              <w:autoSpaceDN/>
              <w:adjustRightInd/>
              <w:jc w:val="center"/>
            </w:pPr>
          </w:p>
        </w:tc>
        <w:tc>
          <w:tcPr>
            <w:tcW w:w="2520" w:type="dxa"/>
            <w:gridSpan w:val="3"/>
            <w:tcBorders>
              <w:top w:val="nil"/>
              <w:left w:val="nil"/>
              <w:bottom w:val="single" w:sz="4" w:space="0" w:color="auto"/>
            </w:tcBorders>
            <w:vAlign w:val="center"/>
          </w:tcPr>
          <w:p w14:paraId="49C40693" w14:textId="421B6EEC" w:rsidR="00777D38" w:rsidRDefault="00E831D2" w:rsidP="00D90E2C">
            <w:pPr>
              <w:autoSpaceDE/>
              <w:autoSpaceDN/>
              <w:adjustRightInd/>
              <w:spacing w:line="259" w:lineRule="auto"/>
              <w:jc w:val="center"/>
            </w:pPr>
            <w:r>
              <w:t>Nine</w:t>
            </w:r>
            <w:r w:rsidR="00777D38">
              <w:t xml:space="preserve"> Months Ended</w:t>
            </w:r>
          </w:p>
          <w:p w14:paraId="003D1F94" w14:textId="4EF11413" w:rsidR="00777D38" w:rsidRPr="0061112F" w:rsidRDefault="00E831D2" w:rsidP="00D90E2C">
            <w:pPr>
              <w:autoSpaceDE/>
              <w:autoSpaceDN/>
              <w:adjustRightInd/>
              <w:spacing w:line="259" w:lineRule="auto"/>
              <w:jc w:val="center"/>
            </w:pPr>
            <w:r>
              <w:t>September</w:t>
            </w:r>
            <w:r w:rsidR="00777D38">
              <w:t xml:space="preserve"> 30, </w:t>
            </w:r>
          </w:p>
        </w:tc>
      </w:tr>
      <w:tr w:rsidR="00777D38" w:rsidRPr="0061112F" w14:paraId="7771E1D6" w14:textId="77777777" w:rsidTr="00FC19FE">
        <w:trPr>
          <w:trHeight w:val="288"/>
        </w:trPr>
        <w:tc>
          <w:tcPr>
            <w:tcW w:w="4587" w:type="dxa"/>
            <w:tcBorders>
              <w:top w:val="nil"/>
              <w:left w:val="nil"/>
              <w:bottom w:val="nil"/>
              <w:right w:val="nil"/>
            </w:tcBorders>
            <w:noWrap/>
            <w:vAlign w:val="bottom"/>
            <w:hideMark/>
          </w:tcPr>
          <w:p w14:paraId="173E76B9" w14:textId="77777777" w:rsidR="00777D38" w:rsidRPr="004B1A43" w:rsidRDefault="00777D38" w:rsidP="00D90E2C">
            <w:pPr>
              <w:autoSpaceDE/>
              <w:autoSpaceDN/>
              <w:adjustRightInd/>
              <w:jc w:val="center"/>
            </w:pPr>
          </w:p>
        </w:tc>
        <w:tc>
          <w:tcPr>
            <w:tcW w:w="1152" w:type="dxa"/>
            <w:tcBorders>
              <w:top w:val="nil"/>
              <w:left w:val="nil"/>
              <w:bottom w:val="single" w:sz="4" w:space="0" w:color="auto"/>
              <w:right w:val="nil"/>
            </w:tcBorders>
            <w:noWrap/>
            <w:vAlign w:val="bottom"/>
            <w:hideMark/>
          </w:tcPr>
          <w:p w14:paraId="525D5266" w14:textId="37031936" w:rsidR="00777D38" w:rsidRPr="004B1A43" w:rsidRDefault="00777D38" w:rsidP="00D90E2C">
            <w:pPr>
              <w:autoSpaceDE/>
              <w:autoSpaceDN/>
              <w:adjustRightInd/>
              <w:jc w:val="center"/>
            </w:pPr>
            <w:r w:rsidRPr="004B1A43">
              <w:t>20</w:t>
            </w:r>
            <w:r>
              <w:t>2</w:t>
            </w:r>
            <w:r w:rsidR="00FC19FE">
              <w:t>1</w:t>
            </w:r>
          </w:p>
        </w:tc>
        <w:tc>
          <w:tcPr>
            <w:tcW w:w="276" w:type="dxa"/>
            <w:tcBorders>
              <w:top w:val="nil"/>
              <w:left w:val="nil"/>
              <w:bottom w:val="nil"/>
              <w:right w:val="nil"/>
            </w:tcBorders>
            <w:noWrap/>
            <w:vAlign w:val="bottom"/>
            <w:hideMark/>
          </w:tcPr>
          <w:p w14:paraId="612EFFEC" w14:textId="77777777" w:rsidR="00777D38" w:rsidRPr="004B1A43" w:rsidRDefault="00777D38" w:rsidP="00D90E2C">
            <w:pPr>
              <w:autoSpaceDE/>
              <w:autoSpaceDN/>
              <w:adjustRightInd/>
              <w:jc w:val="center"/>
            </w:pPr>
            <w:r w:rsidRPr="004B1A43">
              <w:t> </w:t>
            </w:r>
          </w:p>
        </w:tc>
        <w:tc>
          <w:tcPr>
            <w:tcW w:w="1095" w:type="dxa"/>
            <w:tcBorders>
              <w:top w:val="nil"/>
              <w:left w:val="nil"/>
              <w:bottom w:val="single" w:sz="4" w:space="0" w:color="auto"/>
              <w:right w:val="nil"/>
            </w:tcBorders>
            <w:noWrap/>
            <w:vAlign w:val="bottom"/>
            <w:hideMark/>
          </w:tcPr>
          <w:p w14:paraId="631CFE03" w14:textId="6BB3BA48" w:rsidR="00777D38" w:rsidRPr="004B1A43" w:rsidRDefault="00777D38" w:rsidP="00D90E2C">
            <w:pPr>
              <w:autoSpaceDE/>
              <w:autoSpaceDN/>
              <w:adjustRightInd/>
              <w:jc w:val="center"/>
            </w:pPr>
            <w:r w:rsidRPr="004B1A43">
              <w:t>20</w:t>
            </w:r>
            <w:r w:rsidR="00FC19FE">
              <w:t>20</w:t>
            </w:r>
          </w:p>
        </w:tc>
        <w:tc>
          <w:tcPr>
            <w:tcW w:w="270" w:type="dxa"/>
            <w:tcBorders>
              <w:top w:val="nil"/>
              <w:left w:val="nil"/>
              <w:right w:val="nil"/>
            </w:tcBorders>
          </w:tcPr>
          <w:p w14:paraId="6A49ADE7" w14:textId="77777777" w:rsidR="00777D38" w:rsidRPr="004B1A43" w:rsidRDefault="00777D38" w:rsidP="00D90E2C">
            <w:pPr>
              <w:autoSpaceDE/>
              <w:autoSpaceDN/>
              <w:adjustRightInd/>
              <w:jc w:val="center"/>
            </w:pPr>
          </w:p>
        </w:tc>
        <w:tc>
          <w:tcPr>
            <w:tcW w:w="1170" w:type="dxa"/>
            <w:tcBorders>
              <w:top w:val="nil"/>
              <w:left w:val="nil"/>
              <w:bottom w:val="single" w:sz="4" w:space="0" w:color="auto"/>
              <w:right w:val="nil"/>
            </w:tcBorders>
          </w:tcPr>
          <w:p w14:paraId="27A15794" w14:textId="2E8ED1BF" w:rsidR="00777D38" w:rsidRPr="004B1A43" w:rsidRDefault="00777D38" w:rsidP="00D90E2C">
            <w:pPr>
              <w:autoSpaceDE/>
              <w:autoSpaceDN/>
              <w:adjustRightInd/>
              <w:jc w:val="center"/>
            </w:pPr>
            <w:r>
              <w:t>202</w:t>
            </w:r>
            <w:r w:rsidR="00FC19FE">
              <w:t>1</w:t>
            </w:r>
          </w:p>
        </w:tc>
        <w:tc>
          <w:tcPr>
            <w:tcW w:w="270" w:type="dxa"/>
            <w:tcBorders>
              <w:top w:val="nil"/>
              <w:left w:val="nil"/>
              <w:right w:val="nil"/>
            </w:tcBorders>
          </w:tcPr>
          <w:p w14:paraId="73A98860" w14:textId="77777777" w:rsidR="00777D38" w:rsidRPr="004B1A43" w:rsidRDefault="00777D38" w:rsidP="00D90E2C">
            <w:pPr>
              <w:autoSpaceDE/>
              <w:autoSpaceDN/>
              <w:adjustRightInd/>
              <w:jc w:val="center"/>
            </w:pPr>
          </w:p>
        </w:tc>
        <w:tc>
          <w:tcPr>
            <w:tcW w:w="1080" w:type="dxa"/>
            <w:tcBorders>
              <w:top w:val="nil"/>
              <w:left w:val="nil"/>
              <w:bottom w:val="single" w:sz="4" w:space="0" w:color="auto"/>
              <w:right w:val="nil"/>
            </w:tcBorders>
          </w:tcPr>
          <w:p w14:paraId="49E1D33F" w14:textId="23A862F3" w:rsidR="00777D38" w:rsidRPr="004B1A43" w:rsidRDefault="00777D38" w:rsidP="00D90E2C">
            <w:pPr>
              <w:autoSpaceDE/>
              <w:autoSpaceDN/>
              <w:adjustRightInd/>
              <w:jc w:val="center"/>
            </w:pPr>
            <w:r>
              <w:t>20</w:t>
            </w:r>
            <w:r w:rsidR="00FC19FE">
              <w:t>20</w:t>
            </w:r>
          </w:p>
        </w:tc>
      </w:tr>
      <w:tr w:rsidR="00777D38" w:rsidRPr="0061112F" w14:paraId="24DFD18F" w14:textId="77777777" w:rsidTr="00FC19FE">
        <w:trPr>
          <w:trHeight w:val="261"/>
        </w:trPr>
        <w:tc>
          <w:tcPr>
            <w:tcW w:w="4587" w:type="dxa"/>
            <w:tcBorders>
              <w:top w:val="nil"/>
              <w:left w:val="nil"/>
              <w:bottom w:val="nil"/>
              <w:right w:val="nil"/>
            </w:tcBorders>
            <w:noWrap/>
            <w:vAlign w:val="bottom"/>
          </w:tcPr>
          <w:p w14:paraId="66F1D9A8" w14:textId="77777777" w:rsidR="00777D38" w:rsidRPr="004B1A43" w:rsidRDefault="00777D38" w:rsidP="00D90E2C">
            <w:pPr>
              <w:autoSpaceDE/>
              <w:autoSpaceDN/>
              <w:adjustRightInd/>
              <w:jc w:val="both"/>
            </w:pPr>
            <w:r w:rsidRPr="004B1A43">
              <w:rPr>
                <w:b/>
                <w:bCs/>
              </w:rPr>
              <w:t>Revenue</w:t>
            </w:r>
          </w:p>
        </w:tc>
        <w:tc>
          <w:tcPr>
            <w:tcW w:w="1152" w:type="dxa"/>
            <w:tcBorders>
              <w:top w:val="nil"/>
              <w:left w:val="nil"/>
              <w:right w:val="nil"/>
            </w:tcBorders>
            <w:noWrap/>
            <w:vAlign w:val="bottom"/>
          </w:tcPr>
          <w:p w14:paraId="6737F93D" w14:textId="77777777" w:rsidR="00777D38" w:rsidRPr="004B1A43" w:rsidRDefault="00777D38" w:rsidP="00D90E2C">
            <w:pPr>
              <w:autoSpaceDE/>
              <w:autoSpaceDN/>
              <w:adjustRightInd/>
              <w:jc w:val="right"/>
            </w:pPr>
          </w:p>
        </w:tc>
        <w:tc>
          <w:tcPr>
            <w:tcW w:w="276" w:type="dxa"/>
            <w:tcBorders>
              <w:top w:val="nil"/>
              <w:left w:val="nil"/>
              <w:right w:val="nil"/>
            </w:tcBorders>
            <w:noWrap/>
            <w:vAlign w:val="bottom"/>
          </w:tcPr>
          <w:p w14:paraId="696198FC" w14:textId="77777777" w:rsidR="00777D38" w:rsidRPr="004B1A43" w:rsidRDefault="00777D38" w:rsidP="00D90E2C">
            <w:pPr>
              <w:autoSpaceDE/>
              <w:autoSpaceDN/>
              <w:adjustRightInd/>
              <w:jc w:val="right"/>
              <w:rPr>
                <w:u w:val="single"/>
              </w:rPr>
            </w:pPr>
          </w:p>
        </w:tc>
        <w:tc>
          <w:tcPr>
            <w:tcW w:w="1095" w:type="dxa"/>
            <w:tcBorders>
              <w:top w:val="nil"/>
              <w:left w:val="nil"/>
              <w:right w:val="nil"/>
            </w:tcBorders>
            <w:noWrap/>
            <w:vAlign w:val="bottom"/>
          </w:tcPr>
          <w:p w14:paraId="6036F71A" w14:textId="77777777" w:rsidR="00777D38" w:rsidRPr="009E43D8" w:rsidRDefault="00777D38" w:rsidP="00D90E2C">
            <w:pPr>
              <w:autoSpaceDE/>
              <w:autoSpaceDN/>
              <w:adjustRightInd/>
              <w:jc w:val="right"/>
            </w:pPr>
          </w:p>
        </w:tc>
        <w:tc>
          <w:tcPr>
            <w:tcW w:w="270" w:type="dxa"/>
            <w:tcBorders>
              <w:top w:val="nil"/>
              <w:left w:val="nil"/>
              <w:right w:val="nil"/>
            </w:tcBorders>
          </w:tcPr>
          <w:p w14:paraId="37B28E71" w14:textId="77777777" w:rsidR="00777D38" w:rsidRPr="004B1A43" w:rsidRDefault="00777D38" w:rsidP="00D90E2C">
            <w:pPr>
              <w:autoSpaceDE/>
              <w:autoSpaceDN/>
              <w:adjustRightInd/>
              <w:jc w:val="right"/>
            </w:pPr>
          </w:p>
        </w:tc>
        <w:tc>
          <w:tcPr>
            <w:tcW w:w="1170" w:type="dxa"/>
            <w:tcBorders>
              <w:top w:val="nil"/>
              <w:left w:val="nil"/>
              <w:right w:val="nil"/>
            </w:tcBorders>
          </w:tcPr>
          <w:p w14:paraId="580F5167" w14:textId="77777777" w:rsidR="00777D38" w:rsidRPr="004B1A43" w:rsidRDefault="00777D38" w:rsidP="00D90E2C">
            <w:pPr>
              <w:autoSpaceDE/>
              <w:autoSpaceDN/>
              <w:adjustRightInd/>
              <w:jc w:val="right"/>
            </w:pPr>
          </w:p>
        </w:tc>
        <w:tc>
          <w:tcPr>
            <w:tcW w:w="270" w:type="dxa"/>
            <w:tcBorders>
              <w:top w:val="nil"/>
              <w:left w:val="nil"/>
              <w:right w:val="nil"/>
            </w:tcBorders>
          </w:tcPr>
          <w:p w14:paraId="5EB2B9C7" w14:textId="77777777" w:rsidR="00777D38" w:rsidRPr="004B1A43" w:rsidRDefault="00777D38" w:rsidP="00D90E2C">
            <w:pPr>
              <w:autoSpaceDE/>
              <w:autoSpaceDN/>
              <w:adjustRightInd/>
              <w:jc w:val="right"/>
            </w:pPr>
          </w:p>
        </w:tc>
        <w:tc>
          <w:tcPr>
            <w:tcW w:w="1080" w:type="dxa"/>
            <w:tcBorders>
              <w:top w:val="nil"/>
              <w:left w:val="nil"/>
              <w:right w:val="nil"/>
            </w:tcBorders>
          </w:tcPr>
          <w:p w14:paraId="098DED93" w14:textId="77777777" w:rsidR="00777D38" w:rsidRPr="004B1A43" w:rsidRDefault="00777D38" w:rsidP="00D90E2C">
            <w:pPr>
              <w:autoSpaceDE/>
              <w:autoSpaceDN/>
              <w:adjustRightInd/>
              <w:jc w:val="right"/>
            </w:pPr>
          </w:p>
        </w:tc>
      </w:tr>
      <w:tr w:rsidR="00FC19FE" w:rsidRPr="009E43D8" w14:paraId="4218E813" w14:textId="77777777" w:rsidTr="00EC4288">
        <w:trPr>
          <w:trHeight w:val="288"/>
        </w:trPr>
        <w:tc>
          <w:tcPr>
            <w:tcW w:w="4587" w:type="dxa"/>
            <w:tcBorders>
              <w:top w:val="nil"/>
              <w:left w:val="nil"/>
              <w:bottom w:val="nil"/>
              <w:right w:val="nil"/>
            </w:tcBorders>
            <w:noWrap/>
            <w:vAlign w:val="bottom"/>
            <w:hideMark/>
          </w:tcPr>
          <w:p w14:paraId="3977146C" w14:textId="77777777" w:rsidR="00FC19FE" w:rsidRPr="004B1A43" w:rsidRDefault="00FC19FE" w:rsidP="00FC19FE">
            <w:pPr>
              <w:autoSpaceDE/>
              <w:autoSpaceDN/>
              <w:adjustRightInd/>
              <w:ind w:left="144"/>
              <w:jc w:val="both"/>
            </w:pPr>
            <w:r w:rsidRPr="004B1A43">
              <w:t>Total Revenue</w:t>
            </w:r>
          </w:p>
        </w:tc>
        <w:tc>
          <w:tcPr>
            <w:tcW w:w="1152" w:type="dxa"/>
            <w:tcBorders>
              <w:left w:val="nil"/>
              <w:bottom w:val="single" w:sz="4" w:space="0" w:color="auto"/>
              <w:right w:val="nil"/>
            </w:tcBorders>
            <w:noWrap/>
            <w:vAlign w:val="bottom"/>
          </w:tcPr>
          <w:p w14:paraId="285732ED" w14:textId="05A78826" w:rsidR="00FC19FE" w:rsidRPr="004B1A43" w:rsidRDefault="005B4C57" w:rsidP="00FC19FE">
            <w:pPr>
              <w:autoSpaceDE/>
              <w:autoSpaceDN/>
              <w:adjustRightInd/>
              <w:jc w:val="right"/>
            </w:pPr>
            <w:r>
              <w:t>$</w:t>
            </w:r>
            <w:r w:rsidR="009A3352">
              <w:t>478</w:t>
            </w:r>
          </w:p>
        </w:tc>
        <w:tc>
          <w:tcPr>
            <w:tcW w:w="276" w:type="dxa"/>
            <w:tcBorders>
              <w:left w:val="nil"/>
              <w:right w:val="nil"/>
            </w:tcBorders>
            <w:noWrap/>
            <w:vAlign w:val="bottom"/>
          </w:tcPr>
          <w:p w14:paraId="344970B6" w14:textId="77777777" w:rsidR="00FC19FE" w:rsidRPr="004B1A43" w:rsidRDefault="00FC19FE" w:rsidP="00FC19FE">
            <w:pPr>
              <w:autoSpaceDE/>
              <w:autoSpaceDN/>
              <w:adjustRightInd/>
              <w:jc w:val="right"/>
            </w:pPr>
          </w:p>
        </w:tc>
        <w:tc>
          <w:tcPr>
            <w:tcW w:w="1095" w:type="dxa"/>
            <w:tcBorders>
              <w:left w:val="nil"/>
              <w:bottom w:val="single" w:sz="4" w:space="0" w:color="auto"/>
              <w:right w:val="nil"/>
            </w:tcBorders>
            <w:noWrap/>
            <w:vAlign w:val="bottom"/>
          </w:tcPr>
          <w:p w14:paraId="0075BBF4" w14:textId="57244A90" w:rsidR="00FC19FE" w:rsidRPr="009E43D8" w:rsidRDefault="005B4C57" w:rsidP="00FC19FE">
            <w:pPr>
              <w:autoSpaceDE/>
              <w:autoSpaceDN/>
              <w:adjustRightInd/>
              <w:jc w:val="right"/>
            </w:pPr>
            <w:r w:rsidRPr="009E43D8">
              <w:t>$460</w:t>
            </w:r>
          </w:p>
        </w:tc>
        <w:tc>
          <w:tcPr>
            <w:tcW w:w="270" w:type="dxa"/>
            <w:tcBorders>
              <w:left w:val="nil"/>
              <w:right w:val="nil"/>
            </w:tcBorders>
          </w:tcPr>
          <w:p w14:paraId="3FB83E35" w14:textId="77777777" w:rsidR="00FC19FE" w:rsidRPr="004B1A43" w:rsidRDefault="00FC19FE" w:rsidP="00FC19FE">
            <w:pPr>
              <w:autoSpaceDE/>
              <w:autoSpaceDN/>
              <w:adjustRightInd/>
              <w:jc w:val="right"/>
            </w:pPr>
          </w:p>
        </w:tc>
        <w:tc>
          <w:tcPr>
            <w:tcW w:w="1170" w:type="dxa"/>
            <w:tcBorders>
              <w:left w:val="nil"/>
              <w:bottom w:val="single" w:sz="4" w:space="0" w:color="auto"/>
              <w:right w:val="nil"/>
            </w:tcBorders>
          </w:tcPr>
          <w:p w14:paraId="1A37446F" w14:textId="59B85D0D" w:rsidR="00FC19FE" w:rsidRPr="004B1A43" w:rsidRDefault="005B4C57" w:rsidP="00FC19FE">
            <w:pPr>
              <w:autoSpaceDE/>
              <w:autoSpaceDN/>
              <w:adjustRightInd/>
              <w:jc w:val="right"/>
            </w:pPr>
            <w:r>
              <w:t>$1,4</w:t>
            </w:r>
            <w:r w:rsidR="009A3352">
              <w:t>2</w:t>
            </w:r>
            <w:r>
              <w:t>9</w:t>
            </w:r>
          </w:p>
        </w:tc>
        <w:tc>
          <w:tcPr>
            <w:tcW w:w="270" w:type="dxa"/>
            <w:tcBorders>
              <w:left w:val="nil"/>
              <w:right w:val="nil"/>
            </w:tcBorders>
          </w:tcPr>
          <w:p w14:paraId="554918B6" w14:textId="77777777" w:rsidR="00FC19FE" w:rsidRPr="004B1A43" w:rsidRDefault="00FC19FE" w:rsidP="00FC19FE">
            <w:pPr>
              <w:autoSpaceDE/>
              <w:autoSpaceDN/>
              <w:adjustRightInd/>
              <w:jc w:val="right"/>
            </w:pPr>
          </w:p>
        </w:tc>
        <w:tc>
          <w:tcPr>
            <w:tcW w:w="1080" w:type="dxa"/>
            <w:tcBorders>
              <w:left w:val="nil"/>
              <w:bottom w:val="single" w:sz="4" w:space="0" w:color="auto"/>
              <w:right w:val="nil"/>
            </w:tcBorders>
          </w:tcPr>
          <w:p w14:paraId="7045D568" w14:textId="43165AE9" w:rsidR="00FC19FE" w:rsidRPr="009E43D8" w:rsidRDefault="005B4C57" w:rsidP="00FC19FE">
            <w:pPr>
              <w:autoSpaceDE/>
              <w:autoSpaceDN/>
              <w:adjustRightInd/>
              <w:jc w:val="right"/>
            </w:pPr>
            <w:r w:rsidRPr="009E43D8">
              <w:t>$1,332</w:t>
            </w:r>
          </w:p>
        </w:tc>
      </w:tr>
      <w:tr w:rsidR="00FC19FE" w:rsidRPr="009E43D8" w14:paraId="4E7F555C" w14:textId="77777777" w:rsidTr="00EC4288">
        <w:trPr>
          <w:trHeight w:hRule="exact" w:val="288"/>
        </w:trPr>
        <w:tc>
          <w:tcPr>
            <w:tcW w:w="4587" w:type="dxa"/>
            <w:tcBorders>
              <w:top w:val="nil"/>
              <w:left w:val="nil"/>
              <w:bottom w:val="nil"/>
              <w:right w:val="nil"/>
            </w:tcBorders>
            <w:noWrap/>
            <w:vAlign w:val="bottom"/>
            <w:hideMark/>
          </w:tcPr>
          <w:p w14:paraId="508BECF4" w14:textId="77777777" w:rsidR="00FC19FE" w:rsidRPr="004B1A43" w:rsidRDefault="00FC19FE" w:rsidP="00FC19FE">
            <w:pPr>
              <w:autoSpaceDE/>
              <w:autoSpaceDN/>
              <w:adjustRightInd/>
              <w:jc w:val="both"/>
            </w:pPr>
            <w:r w:rsidRPr="004B1A43">
              <w:rPr>
                <w:b/>
                <w:bCs/>
              </w:rPr>
              <w:t xml:space="preserve">Costs and </w:t>
            </w:r>
            <w:r>
              <w:rPr>
                <w:b/>
                <w:bCs/>
              </w:rPr>
              <w:t>e</w:t>
            </w:r>
            <w:r w:rsidRPr="004B1A43">
              <w:rPr>
                <w:b/>
                <w:bCs/>
              </w:rPr>
              <w:t>xpenses</w:t>
            </w:r>
          </w:p>
        </w:tc>
        <w:tc>
          <w:tcPr>
            <w:tcW w:w="1152" w:type="dxa"/>
            <w:tcBorders>
              <w:top w:val="single" w:sz="4" w:space="0" w:color="auto"/>
              <w:left w:val="nil"/>
              <w:bottom w:val="nil"/>
              <w:right w:val="nil"/>
            </w:tcBorders>
            <w:noWrap/>
            <w:vAlign w:val="bottom"/>
          </w:tcPr>
          <w:p w14:paraId="230E347E" w14:textId="77777777" w:rsidR="00FC19FE" w:rsidRPr="004B1A43" w:rsidRDefault="00FC19FE" w:rsidP="00FC19FE">
            <w:pPr>
              <w:autoSpaceDE/>
              <w:autoSpaceDN/>
              <w:adjustRightInd/>
              <w:jc w:val="right"/>
            </w:pPr>
          </w:p>
        </w:tc>
        <w:tc>
          <w:tcPr>
            <w:tcW w:w="276" w:type="dxa"/>
            <w:tcBorders>
              <w:left w:val="nil"/>
              <w:bottom w:val="nil"/>
              <w:right w:val="nil"/>
            </w:tcBorders>
            <w:noWrap/>
            <w:vAlign w:val="bottom"/>
          </w:tcPr>
          <w:p w14:paraId="7300962B" w14:textId="77777777" w:rsidR="00FC19FE" w:rsidRPr="004B1A43" w:rsidRDefault="00FC19FE" w:rsidP="00FC19FE">
            <w:pPr>
              <w:autoSpaceDE/>
              <w:autoSpaceDN/>
              <w:adjustRightInd/>
              <w:jc w:val="right"/>
            </w:pPr>
          </w:p>
        </w:tc>
        <w:tc>
          <w:tcPr>
            <w:tcW w:w="1095" w:type="dxa"/>
            <w:tcBorders>
              <w:top w:val="single" w:sz="4" w:space="0" w:color="auto"/>
              <w:left w:val="nil"/>
              <w:bottom w:val="nil"/>
              <w:right w:val="nil"/>
            </w:tcBorders>
            <w:noWrap/>
            <w:vAlign w:val="bottom"/>
          </w:tcPr>
          <w:p w14:paraId="788DEC00" w14:textId="77777777" w:rsidR="00FC19FE" w:rsidRPr="009E43D8" w:rsidRDefault="00FC19FE" w:rsidP="00FC19FE">
            <w:pPr>
              <w:autoSpaceDE/>
              <w:autoSpaceDN/>
              <w:adjustRightInd/>
              <w:jc w:val="right"/>
            </w:pPr>
          </w:p>
        </w:tc>
        <w:tc>
          <w:tcPr>
            <w:tcW w:w="270" w:type="dxa"/>
            <w:tcBorders>
              <w:left w:val="nil"/>
              <w:bottom w:val="nil"/>
              <w:right w:val="nil"/>
            </w:tcBorders>
          </w:tcPr>
          <w:p w14:paraId="77A3A9EB" w14:textId="77777777" w:rsidR="00FC19FE" w:rsidRPr="004B1A43" w:rsidRDefault="00FC19FE" w:rsidP="00FC19FE">
            <w:pPr>
              <w:autoSpaceDE/>
              <w:autoSpaceDN/>
              <w:adjustRightInd/>
              <w:jc w:val="right"/>
            </w:pPr>
          </w:p>
        </w:tc>
        <w:tc>
          <w:tcPr>
            <w:tcW w:w="1170" w:type="dxa"/>
            <w:tcBorders>
              <w:top w:val="single" w:sz="4" w:space="0" w:color="auto"/>
              <w:left w:val="nil"/>
              <w:bottom w:val="nil"/>
              <w:right w:val="nil"/>
            </w:tcBorders>
          </w:tcPr>
          <w:p w14:paraId="5CBA8831" w14:textId="77777777" w:rsidR="00FC19FE" w:rsidRPr="004B1A43" w:rsidRDefault="00FC19FE" w:rsidP="00FC19FE">
            <w:pPr>
              <w:autoSpaceDE/>
              <w:autoSpaceDN/>
              <w:adjustRightInd/>
              <w:jc w:val="right"/>
            </w:pPr>
          </w:p>
        </w:tc>
        <w:tc>
          <w:tcPr>
            <w:tcW w:w="270" w:type="dxa"/>
            <w:tcBorders>
              <w:left w:val="nil"/>
              <w:bottom w:val="nil"/>
              <w:right w:val="nil"/>
            </w:tcBorders>
          </w:tcPr>
          <w:p w14:paraId="7B07A853" w14:textId="77777777" w:rsidR="00FC19FE" w:rsidRPr="004B1A43" w:rsidRDefault="00FC19FE" w:rsidP="00FC19FE">
            <w:pPr>
              <w:autoSpaceDE/>
              <w:autoSpaceDN/>
              <w:adjustRightInd/>
              <w:jc w:val="right"/>
            </w:pPr>
          </w:p>
        </w:tc>
        <w:tc>
          <w:tcPr>
            <w:tcW w:w="1080" w:type="dxa"/>
            <w:tcBorders>
              <w:top w:val="single" w:sz="4" w:space="0" w:color="auto"/>
              <w:left w:val="nil"/>
              <w:bottom w:val="nil"/>
              <w:right w:val="nil"/>
            </w:tcBorders>
          </w:tcPr>
          <w:p w14:paraId="6FD160E6" w14:textId="77777777" w:rsidR="00FC19FE" w:rsidRPr="009E43D8" w:rsidRDefault="00FC19FE" w:rsidP="00FC19FE">
            <w:pPr>
              <w:autoSpaceDE/>
              <w:autoSpaceDN/>
              <w:adjustRightInd/>
              <w:jc w:val="right"/>
            </w:pPr>
          </w:p>
        </w:tc>
      </w:tr>
      <w:tr w:rsidR="00FC19FE" w:rsidRPr="009E43D8" w14:paraId="3ACD61C9" w14:textId="77777777" w:rsidTr="00FC19FE">
        <w:trPr>
          <w:trHeight w:val="288"/>
        </w:trPr>
        <w:tc>
          <w:tcPr>
            <w:tcW w:w="4587" w:type="dxa"/>
            <w:tcBorders>
              <w:top w:val="nil"/>
              <w:left w:val="nil"/>
              <w:bottom w:val="nil"/>
              <w:right w:val="nil"/>
            </w:tcBorders>
            <w:noWrap/>
            <w:vAlign w:val="bottom"/>
          </w:tcPr>
          <w:p w14:paraId="05FA835E" w14:textId="77777777" w:rsidR="00FC19FE" w:rsidRPr="004B1A43" w:rsidRDefault="00FC19FE" w:rsidP="00FC19FE">
            <w:pPr>
              <w:autoSpaceDE/>
              <w:autoSpaceDN/>
              <w:adjustRightInd/>
              <w:jc w:val="both"/>
            </w:pPr>
            <w:r w:rsidRPr="008363BD">
              <w:t>Cost of revenue, excluding depreciation</w:t>
            </w:r>
          </w:p>
        </w:tc>
        <w:tc>
          <w:tcPr>
            <w:tcW w:w="1152" w:type="dxa"/>
            <w:tcBorders>
              <w:top w:val="nil"/>
              <w:left w:val="nil"/>
              <w:bottom w:val="nil"/>
              <w:right w:val="nil"/>
            </w:tcBorders>
            <w:noWrap/>
            <w:vAlign w:val="bottom"/>
          </w:tcPr>
          <w:p w14:paraId="768E5190" w14:textId="454E4277" w:rsidR="00FC19FE" w:rsidRDefault="005B4C57" w:rsidP="00FC19FE">
            <w:pPr>
              <w:autoSpaceDE/>
              <w:autoSpaceDN/>
              <w:adjustRightInd/>
              <w:jc w:val="right"/>
            </w:pPr>
            <w:r>
              <w:t>2</w:t>
            </w:r>
            <w:r w:rsidR="009A3352">
              <w:t>5</w:t>
            </w:r>
            <w:r>
              <w:t>8</w:t>
            </w:r>
          </w:p>
        </w:tc>
        <w:tc>
          <w:tcPr>
            <w:tcW w:w="276" w:type="dxa"/>
            <w:tcBorders>
              <w:top w:val="nil"/>
              <w:left w:val="nil"/>
              <w:bottom w:val="nil"/>
              <w:right w:val="nil"/>
            </w:tcBorders>
            <w:noWrap/>
            <w:vAlign w:val="bottom"/>
          </w:tcPr>
          <w:p w14:paraId="4CDBE5CA" w14:textId="77777777" w:rsidR="00FC19FE" w:rsidRPr="004B1A43" w:rsidRDefault="00FC19FE" w:rsidP="00FC19FE">
            <w:pPr>
              <w:autoSpaceDE/>
              <w:autoSpaceDN/>
              <w:adjustRightInd/>
              <w:jc w:val="right"/>
            </w:pPr>
          </w:p>
        </w:tc>
        <w:tc>
          <w:tcPr>
            <w:tcW w:w="1095" w:type="dxa"/>
            <w:tcBorders>
              <w:top w:val="nil"/>
              <w:left w:val="nil"/>
              <w:bottom w:val="nil"/>
              <w:right w:val="nil"/>
            </w:tcBorders>
            <w:noWrap/>
            <w:vAlign w:val="bottom"/>
          </w:tcPr>
          <w:p w14:paraId="2B0B668D" w14:textId="686E64CB" w:rsidR="00FC19FE" w:rsidRPr="009E43D8" w:rsidRDefault="005B4C57" w:rsidP="00FC19FE">
            <w:pPr>
              <w:autoSpaceDE/>
              <w:autoSpaceDN/>
              <w:adjustRightInd/>
              <w:jc w:val="right"/>
            </w:pPr>
            <w:r w:rsidRPr="009E43D8">
              <w:t>263</w:t>
            </w:r>
          </w:p>
        </w:tc>
        <w:tc>
          <w:tcPr>
            <w:tcW w:w="270" w:type="dxa"/>
            <w:tcBorders>
              <w:top w:val="nil"/>
              <w:left w:val="nil"/>
              <w:bottom w:val="nil"/>
              <w:right w:val="nil"/>
            </w:tcBorders>
          </w:tcPr>
          <w:p w14:paraId="6F6A05D6" w14:textId="77777777" w:rsidR="00FC19FE" w:rsidRDefault="00FC19FE" w:rsidP="00FC19FE">
            <w:pPr>
              <w:autoSpaceDE/>
              <w:autoSpaceDN/>
              <w:adjustRightInd/>
              <w:jc w:val="right"/>
            </w:pPr>
          </w:p>
        </w:tc>
        <w:tc>
          <w:tcPr>
            <w:tcW w:w="1170" w:type="dxa"/>
            <w:tcBorders>
              <w:top w:val="nil"/>
              <w:left w:val="nil"/>
              <w:bottom w:val="nil"/>
              <w:right w:val="nil"/>
            </w:tcBorders>
          </w:tcPr>
          <w:p w14:paraId="516EE20B" w14:textId="14BB7566" w:rsidR="00FC19FE" w:rsidRDefault="00762C4E" w:rsidP="00FC19FE">
            <w:pPr>
              <w:autoSpaceDE/>
              <w:autoSpaceDN/>
              <w:adjustRightInd/>
              <w:jc w:val="right"/>
            </w:pPr>
            <w:r>
              <w:t>8</w:t>
            </w:r>
            <w:r w:rsidR="009A3352">
              <w:t>1</w:t>
            </w:r>
            <w:r>
              <w:t>6</w:t>
            </w:r>
          </w:p>
        </w:tc>
        <w:tc>
          <w:tcPr>
            <w:tcW w:w="270" w:type="dxa"/>
            <w:tcBorders>
              <w:top w:val="nil"/>
              <w:left w:val="nil"/>
              <w:bottom w:val="nil"/>
              <w:right w:val="nil"/>
            </w:tcBorders>
          </w:tcPr>
          <w:p w14:paraId="25E2B137" w14:textId="77777777" w:rsidR="00FC19FE" w:rsidRDefault="00FC19FE" w:rsidP="00FC19FE">
            <w:pPr>
              <w:autoSpaceDE/>
              <w:autoSpaceDN/>
              <w:adjustRightInd/>
              <w:jc w:val="right"/>
            </w:pPr>
          </w:p>
        </w:tc>
        <w:tc>
          <w:tcPr>
            <w:tcW w:w="1080" w:type="dxa"/>
            <w:tcBorders>
              <w:top w:val="nil"/>
              <w:left w:val="nil"/>
              <w:bottom w:val="nil"/>
              <w:right w:val="nil"/>
            </w:tcBorders>
          </w:tcPr>
          <w:p w14:paraId="04B55011" w14:textId="42480C3D" w:rsidR="00FC19FE" w:rsidRPr="009E43D8" w:rsidRDefault="00762C4E" w:rsidP="00FC19FE">
            <w:pPr>
              <w:autoSpaceDE/>
              <w:autoSpaceDN/>
              <w:adjustRightInd/>
              <w:jc w:val="right"/>
            </w:pPr>
            <w:r w:rsidRPr="009E43D8">
              <w:t>752</w:t>
            </w:r>
          </w:p>
        </w:tc>
      </w:tr>
      <w:tr w:rsidR="00FC19FE" w:rsidRPr="009E43D8" w14:paraId="03C6D568" w14:textId="77777777" w:rsidTr="00FC19FE">
        <w:trPr>
          <w:trHeight w:val="288"/>
        </w:trPr>
        <w:tc>
          <w:tcPr>
            <w:tcW w:w="4587" w:type="dxa"/>
            <w:tcBorders>
              <w:top w:val="nil"/>
              <w:left w:val="nil"/>
              <w:bottom w:val="nil"/>
              <w:right w:val="nil"/>
            </w:tcBorders>
            <w:noWrap/>
            <w:vAlign w:val="bottom"/>
          </w:tcPr>
          <w:p w14:paraId="742D2C0A" w14:textId="4D98648E" w:rsidR="00FC19FE" w:rsidRPr="004B1A43" w:rsidRDefault="00FC19FE" w:rsidP="00FC19FE">
            <w:pPr>
              <w:autoSpaceDE/>
              <w:autoSpaceDN/>
              <w:adjustRightInd/>
              <w:jc w:val="both"/>
            </w:pPr>
            <w:r w:rsidRPr="008363BD">
              <w:t>General and administrative costs at operations</w:t>
            </w:r>
          </w:p>
        </w:tc>
        <w:tc>
          <w:tcPr>
            <w:tcW w:w="1152" w:type="dxa"/>
            <w:tcBorders>
              <w:top w:val="nil"/>
              <w:left w:val="nil"/>
              <w:bottom w:val="nil"/>
              <w:right w:val="nil"/>
            </w:tcBorders>
            <w:noWrap/>
            <w:vAlign w:val="bottom"/>
          </w:tcPr>
          <w:p w14:paraId="03FF7B8A" w14:textId="7C37C38F" w:rsidR="00FC19FE" w:rsidRDefault="005B4C57" w:rsidP="00FC19FE">
            <w:pPr>
              <w:autoSpaceDE/>
              <w:autoSpaceDN/>
              <w:adjustRightInd/>
              <w:jc w:val="right"/>
            </w:pPr>
            <w:r>
              <w:t>6</w:t>
            </w:r>
            <w:r w:rsidR="007A458B">
              <w:t>8</w:t>
            </w:r>
          </w:p>
        </w:tc>
        <w:tc>
          <w:tcPr>
            <w:tcW w:w="276" w:type="dxa"/>
            <w:tcBorders>
              <w:top w:val="nil"/>
              <w:left w:val="nil"/>
              <w:bottom w:val="nil"/>
              <w:right w:val="nil"/>
            </w:tcBorders>
            <w:noWrap/>
            <w:vAlign w:val="bottom"/>
          </w:tcPr>
          <w:p w14:paraId="7B331301" w14:textId="77777777" w:rsidR="00FC19FE" w:rsidRPr="004B1A43" w:rsidRDefault="00FC19FE" w:rsidP="00FC19FE">
            <w:pPr>
              <w:autoSpaceDE/>
              <w:autoSpaceDN/>
              <w:adjustRightInd/>
              <w:jc w:val="right"/>
            </w:pPr>
          </w:p>
        </w:tc>
        <w:tc>
          <w:tcPr>
            <w:tcW w:w="1095" w:type="dxa"/>
            <w:tcBorders>
              <w:top w:val="nil"/>
              <w:left w:val="nil"/>
              <w:bottom w:val="nil"/>
              <w:right w:val="nil"/>
            </w:tcBorders>
            <w:noWrap/>
            <w:vAlign w:val="bottom"/>
          </w:tcPr>
          <w:p w14:paraId="716CFE34" w14:textId="033D62C7" w:rsidR="00FC19FE" w:rsidRPr="009E43D8" w:rsidRDefault="005B4C57" w:rsidP="00FC19FE">
            <w:pPr>
              <w:autoSpaceDE/>
              <w:autoSpaceDN/>
              <w:adjustRightInd/>
              <w:jc w:val="right"/>
            </w:pPr>
            <w:r w:rsidRPr="009E43D8">
              <w:t>75</w:t>
            </w:r>
          </w:p>
        </w:tc>
        <w:tc>
          <w:tcPr>
            <w:tcW w:w="270" w:type="dxa"/>
            <w:tcBorders>
              <w:top w:val="nil"/>
              <w:left w:val="nil"/>
              <w:bottom w:val="nil"/>
              <w:right w:val="nil"/>
            </w:tcBorders>
          </w:tcPr>
          <w:p w14:paraId="7D610002" w14:textId="77777777" w:rsidR="00FC19FE" w:rsidRDefault="00FC19FE" w:rsidP="00FC19FE">
            <w:pPr>
              <w:autoSpaceDE/>
              <w:autoSpaceDN/>
              <w:adjustRightInd/>
              <w:jc w:val="right"/>
            </w:pPr>
          </w:p>
        </w:tc>
        <w:tc>
          <w:tcPr>
            <w:tcW w:w="1170" w:type="dxa"/>
            <w:tcBorders>
              <w:top w:val="nil"/>
              <w:left w:val="nil"/>
              <w:bottom w:val="nil"/>
              <w:right w:val="nil"/>
            </w:tcBorders>
          </w:tcPr>
          <w:p w14:paraId="0D4A34F5" w14:textId="2E81F02C" w:rsidR="00FC19FE" w:rsidRDefault="00762C4E" w:rsidP="00FC19FE">
            <w:pPr>
              <w:autoSpaceDE/>
              <w:autoSpaceDN/>
              <w:adjustRightInd/>
              <w:jc w:val="right"/>
            </w:pPr>
            <w:r>
              <w:t>20</w:t>
            </w:r>
            <w:r w:rsidR="007A458B">
              <w:t>6</w:t>
            </w:r>
          </w:p>
        </w:tc>
        <w:tc>
          <w:tcPr>
            <w:tcW w:w="270" w:type="dxa"/>
            <w:tcBorders>
              <w:top w:val="nil"/>
              <w:left w:val="nil"/>
              <w:bottom w:val="nil"/>
              <w:right w:val="nil"/>
            </w:tcBorders>
          </w:tcPr>
          <w:p w14:paraId="72DE4197" w14:textId="77777777" w:rsidR="00FC19FE" w:rsidRDefault="00FC19FE" w:rsidP="00FC19FE">
            <w:pPr>
              <w:autoSpaceDE/>
              <w:autoSpaceDN/>
              <w:adjustRightInd/>
              <w:jc w:val="right"/>
            </w:pPr>
          </w:p>
        </w:tc>
        <w:tc>
          <w:tcPr>
            <w:tcW w:w="1080" w:type="dxa"/>
            <w:tcBorders>
              <w:top w:val="nil"/>
              <w:left w:val="nil"/>
              <w:bottom w:val="nil"/>
              <w:right w:val="nil"/>
            </w:tcBorders>
          </w:tcPr>
          <w:p w14:paraId="53872C99" w14:textId="5B853CBA" w:rsidR="00FC19FE" w:rsidRPr="009E43D8" w:rsidRDefault="00762C4E" w:rsidP="00FC19FE">
            <w:pPr>
              <w:autoSpaceDE/>
              <w:autoSpaceDN/>
              <w:adjustRightInd/>
              <w:jc w:val="right"/>
            </w:pPr>
            <w:r w:rsidRPr="009E43D8">
              <w:t>236</w:t>
            </w:r>
          </w:p>
        </w:tc>
      </w:tr>
      <w:tr w:rsidR="00FC19FE" w:rsidRPr="009E43D8" w14:paraId="25FC52AA" w14:textId="77777777" w:rsidTr="00EC4288">
        <w:trPr>
          <w:trHeight w:val="288"/>
        </w:trPr>
        <w:tc>
          <w:tcPr>
            <w:tcW w:w="4587" w:type="dxa"/>
            <w:tcBorders>
              <w:top w:val="nil"/>
              <w:left w:val="nil"/>
              <w:bottom w:val="nil"/>
              <w:right w:val="nil"/>
            </w:tcBorders>
            <w:noWrap/>
            <w:vAlign w:val="bottom"/>
            <w:hideMark/>
          </w:tcPr>
          <w:p w14:paraId="7DF5B8DD" w14:textId="77777777" w:rsidR="00FC19FE" w:rsidRPr="004B1A43" w:rsidRDefault="00FC19FE" w:rsidP="00FC19FE">
            <w:pPr>
              <w:autoSpaceDE/>
              <w:autoSpaceDN/>
              <w:adjustRightInd/>
              <w:jc w:val="both"/>
            </w:pPr>
            <w:r w:rsidRPr="004B1A43">
              <w:t>Corporate office expenses</w:t>
            </w:r>
          </w:p>
        </w:tc>
        <w:tc>
          <w:tcPr>
            <w:tcW w:w="1152" w:type="dxa"/>
            <w:tcBorders>
              <w:top w:val="nil"/>
              <w:left w:val="nil"/>
              <w:bottom w:val="nil"/>
              <w:right w:val="nil"/>
            </w:tcBorders>
            <w:noWrap/>
            <w:vAlign w:val="bottom"/>
          </w:tcPr>
          <w:p w14:paraId="56C1FE6E" w14:textId="42B33A66" w:rsidR="00FC19FE" w:rsidRPr="004B1A43" w:rsidRDefault="005B4C57" w:rsidP="00FC19FE">
            <w:pPr>
              <w:autoSpaceDE/>
              <w:autoSpaceDN/>
              <w:adjustRightInd/>
              <w:jc w:val="right"/>
            </w:pPr>
            <w:r>
              <w:t>16</w:t>
            </w:r>
            <w:r w:rsidR="007A458B">
              <w:t>6</w:t>
            </w:r>
          </w:p>
        </w:tc>
        <w:tc>
          <w:tcPr>
            <w:tcW w:w="276" w:type="dxa"/>
            <w:tcBorders>
              <w:top w:val="nil"/>
              <w:left w:val="nil"/>
              <w:bottom w:val="nil"/>
              <w:right w:val="nil"/>
            </w:tcBorders>
            <w:noWrap/>
            <w:vAlign w:val="bottom"/>
          </w:tcPr>
          <w:p w14:paraId="6B4A9D72" w14:textId="77777777" w:rsidR="00FC19FE" w:rsidRPr="004B1A43" w:rsidRDefault="00FC19FE" w:rsidP="00FC19FE">
            <w:pPr>
              <w:autoSpaceDE/>
              <w:autoSpaceDN/>
              <w:adjustRightInd/>
              <w:jc w:val="right"/>
            </w:pPr>
          </w:p>
        </w:tc>
        <w:tc>
          <w:tcPr>
            <w:tcW w:w="1095" w:type="dxa"/>
            <w:tcBorders>
              <w:top w:val="nil"/>
              <w:left w:val="nil"/>
              <w:bottom w:val="nil"/>
              <w:right w:val="nil"/>
            </w:tcBorders>
            <w:noWrap/>
            <w:vAlign w:val="bottom"/>
          </w:tcPr>
          <w:p w14:paraId="2887164D" w14:textId="00F640C5" w:rsidR="00FC19FE" w:rsidRPr="009E43D8" w:rsidRDefault="005B4C57" w:rsidP="00FC19FE">
            <w:pPr>
              <w:autoSpaceDE/>
              <w:autoSpaceDN/>
              <w:adjustRightInd/>
              <w:jc w:val="right"/>
            </w:pPr>
            <w:r w:rsidRPr="009E43D8">
              <w:t>130</w:t>
            </w:r>
          </w:p>
        </w:tc>
        <w:tc>
          <w:tcPr>
            <w:tcW w:w="270" w:type="dxa"/>
            <w:tcBorders>
              <w:top w:val="nil"/>
              <w:left w:val="nil"/>
              <w:bottom w:val="nil"/>
              <w:right w:val="nil"/>
            </w:tcBorders>
          </w:tcPr>
          <w:p w14:paraId="616F536C" w14:textId="77777777" w:rsidR="00FC19FE" w:rsidRDefault="00FC19FE" w:rsidP="00FC19FE">
            <w:pPr>
              <w:autoSpaceDE/>
              <w:autoSpaceDN/>
              <w:adjustRightInd/>
              <w:jc w:val="right"/>
            </w:pPr>
          </w:p>
        </w:tc>
        <w:tc>
          <w:tcPr>
            <w:tcW w:w="1170" w:type="dxa"/>
            <w:tcBorders>
              <w:top w:val="nil"/>
              <w:left w:val="nil"/>
              <w:bottom w:val="nil"/>
              <w:right w:val="nil"/>
            </w:tcBorders>
          </w:tcPr>
          <w:p w14:paraId="06E05312" w14:textId="52EDB337" w:rsidR="00FC19FE" w:rsidRDefault="00762C4E" w:rsidP="00FC19FE">
            <w:pPr>
              <w:autoSpaceDE/>
              <w:autoSpaceDN/>
              <w:adjustRightInd/>
              <w:jc w:val="right"/>
            </w:pPr>
            <w:r>
              <w:t>53</w:t>
            </w:r>
            <w:r w:rsidR="007A458B">
              <w:t>1</w:t>
            </w:r>
          </w:p>
        </w:tc>
        <w:tc>
          <w:tcPr>
            <w:tcW w:w="270" w:type="dxa"/>
            <w:tcBorders>
              <w:top w:val="nil"/>
              <w:left w:val="nil"/>
              <w:bottom w:val="nil"/>
              <w:right w:val="nil"/>
            </w:tcBorders>
          </w:tcPr>
          <w:p w14:paraId="66DF7E2D" w14:textId="77777777" w:rsidR="00FC19FE" w:rsidRDefault="00FC19FE" w:rsidP="00FC19FE">
            <w:pPr>
              <w:autoSpaceDE/>
              <w:autoSpaceDN/>
              <w:adjustRightInd/>
              <w:jc w:val="right"/>
            </w:pPr>
          </w:p>
        </w:tc>
        <w:tc>
          <w:tcPr>
            <w:tcW w:w="1080" w:type="dxa"/>
            <w:tcBorders>
              <w:top w:val="nil"/>
              <w:left w:val="nil"/>
              <w:bottom w:val="nil"/>
              <w:right w:val="nil"/>
            </w:tcBorders>
          </w:tcPr>
          <w:p w14:paraId="26F87DBC" w14:textId="781D6191" w:rsidR="00FC19FE" w:rsidRPr="009E43D8" w:rsidRDefault="00762C4E" w:rsidP="00FC19FE">
            <w:pPr>
              <w:autoSpaceDE/>
              <w:autoSpaceDN/>
              <w:adjustRightInd/>
              <w:jc w:val="right"/>
            </w:pPr>
            <w:r w:rsidRPr="009E43D8">
              <w:t>328</w:t>
            </w:r>
          </w:p>
        </w:tc>
      </w:tr>
      <w:tr w:rsidR="00FC19FE" w:rsidRPr="009E43D8" w14:paraId="4DDADC1C" w14:textId="77777777" w:rsidTr="00EC4288">
        <w:trPr>
          <w:trHeight w:val="288"/>
        </w:trPr>
        <w:tc>
          <w:tcPr>
            <w:tcW w:w="4587" w:type="dxa"/>
            <w:tcBorders>
              <w:top w:val="nil"/>
              <w:left w:val="nil"/>
              <w:bottom w:val="nil"/>
              <w:right w:val="nil"/>
            </w:tcBorders>
            <w:noWrap/>
            <w:vAlign w:val="bottom"/>
            <w:hideMark/>
          </w:tcPr>
          <w:p w14:paraId="5BFC1487" w14:textId="624CD1D5" w:rsidR="00FC19FE" w:rsidRPr="004B1A43" w:rsidRDefault="00092D33" w:rsidP="00FC19FE">
            <w:pPr>
              <w:autoSpaceDE/>
              <w:autoSpaceDN/>
              <w:adjustRightInd/>
              <w:jc w:val="both"/>
            </w:pPr>
            <w:r>
              <w:t>LICT F</w:t>
            </w:r>
            <w:r w:rsidR="00FC19FE" w:rsidRPr="004B1A43">
              <w:t>ee</w:t>
            </w:r>
          </w:p>
        </w:tc>
        <w:tc>
          <w:tcPr>
            <w:tcW w:w="1152" w:type="dxa"/>
            <w:tcBorders>
              <w:top w:val="nil"/>
              <w:left w:val="nil"/>
              <w:bottom w:val="nil"/>
              <w:right w:val="nil"/>
            </w:tcBorders>
            <w:noWrap/>
            <w:vAlign w:val="bottom"/>
          </w:tcPr>
          <w:p w14:paraId="70AC77E6" w14:textId="2D33C313" w:rsidR="00FC19FE" w:rsidRPr="004B1A43" w:rsidRDefault="005B4C57" w:rsidP="00FC19FE">
            <w:pPr>
              <w:autoSpaceDE/>
              <w:autoSpaceDN/>
              <w:adjustRightInd/>
              <w:jc w:val="right"/>
            </w:pPr>
            <w:r>
              <w:t>31</w:t>
            </w:r>
          </w:p>
        </w:tc>
        <w:tc>
          <w:tcPr>
            <w:tcW w:w="276" w:type="dxa"/>
            <w:tcBorders>
              <w:top w:val="nil"/>
              <w:left w:val="nil"/>
              <w:bottom w:val="nil"/>
              <w:right w:val="nil"/>
            </w:tcBorders>
            <w:noWrap/>
            <w:vAlign w:val="bottom"/>
          </w:tcPr>
          <w:p w14:paraId="2380B23C" w14:textId="77777777" w:rsidR="00FC19FE" w:rsidRPr="004B1A43" w:rsidRDefault="00FC19FE" w:rsidP="00FC19FE">
            <w:pPr>
              <w:autoSpaceDE/>
              <w:autoSpaceDN/>
              <w:adjustRightInd/>
              <w:jc w:val="right"/>
            </w:pPr>
          </w:p>
        </w:tc>
        <w:tc>
          <w:tcPr>
            <w:tcW w:w="1095" w:type="dxa"/>
            <w:tcBorders>
              <w:top w:val="nil"/>
              <w:left w:val="nil"/>
              <w:bottom w:val="nil"/>
              <w:right w:val="nil"/>
            </w:tcBorders>
            <w:noWrap/>
            <w:vAlign w:val="bottom"/>
          </w:tcPr>
          <w:p w14:paraId="1B426F0E" w14:textId="0D8D2000" w:rsidR="00FC19FE" w:rsidRPr="009E43D8" w:rsidRDefault="005B4C57" w:rsidP="00FC19FE">
            <w:pPr>
              <w:autoSpaceDE/>
              <w:autoSpaceDN/>
              <w:adjustRightInd/>
              <w:jc w:val="right"/>
            </w:pPr>
            <w:r w:rsidRPr="009E43D8">
              <w:t>31</w:t>
            </w:r>
          </w:p>
        </w:tc>
        <w:tc>
          <w:tcPr>
            <w:tcW w:w="270" w:type="dxa"/>
            <w:tcBorders>
              <w:top w:val="nil"/>
              <w:left w:val="nil"/>
              <w:bottom w:val="nil"/>
              <w:right w:val="nil"/>
            </w:tcBorders>
          </w:tcPr>
          <w:p w14:paraId="5EAB3BF5" w14:textId="77777777" w:rsidR="00FC19FE" w:rsidRDefault="00FC19FE" w:rsidP="00FC19FE">
            <w:pPr>
              <w:autoSpaceDE/>
              <w:autoSpaceDN/>
              <w:adjustRightInd/>
              <w:jc w:val="right"/>
            </w:pPr>
          </w:p>
        </w:tc>
        <w:tc>
          <w:tcPr>
            <w:tcW w:w="1170" w:type="dxa"/>
            <w:tcBorders>
              <w:top w:val="nil"/>
              <w:left w:val="nil"/>
              <w:bottom w:val="nil"/>
              <w:right w:val="nil"/>
            </w:tcBorders>
          </w:tcPr>
          <w:p w14:paraId="6A2817F8" w14:textId="59EE8423" w:rsidR="00FC19FE" w:rsidRDefault="00762C4E" w:rsidP="00FC19FE">
            <w:pPr>
              <w:autoSpaceDE/>
              <w:autoSpaceDN/>
              <w:adjustRightInd/>
              <w:jc w:val="right"/>
            </w:pPr>
            <w:r>
              <w:t>94</w:t>
            </w:r>
          </w:p>
        </w:tc>
        <w:tc>
          <w:tcPr>
            <w:tcW w:w="270" w:type="dxa"/>
            <w:tcBorders>
              <w:top w:val="nil"/>
              <w:left w:val="nil"/>
              <w:bottom w:val="nil"/>
              <w:right w:val="nil"/>
            </w:tcBorders>
          </w:tcPr>
          <w:p w14:paraId="1F2C6980" w14:textId="77777777" w:rsidR="00FC19FE" w:rsidRDefault="00FC19FE" w:rsidP="00FC19FE">
            <w:pPr>
              <w:autoSpaceDE/>
              <w:autoSpaceDN/>
              <w:adjustRightInd/>
              <w:jc w:val="right"/>
            </w:pPr>
          </w:p>
        </w:tc>
        <w:tc>
          <w:tcPr>
            <w:tcW w:w="1080" w:type="dxa"/>
            <w:tcBorders>
              <w:top w:val="nil"/>
              <w:left w:val="nil"/>
              <w:bottom w:val="nil"/>
              <w:right w:val="nil"/>
            </w:tcBorders>
          </w:tcPr>
          <w:p w14:paraId="05D81644" w14:textId="7DAEB4A1" w:rsidR="00FC19FE" w:rsidRPr="009E43D8" w:rsidRDefault="00762C4E" w:rsidP="00FC19FE">
            <w:pPr>
              <w:autoSpaceDE/>
              <w:autoSpaceDN/>
              <w:adjustRightInd/>
              <w:jc w:val="right"/>
            </w:pPr>
            <w:r w:rsidRPr="009E43D8">
              <w:t>94</w:t>
            </w:r>
          </w:p>
        </w:tc>
      </w:tr>
      <w:tr w:rsidR="00FC19FE" w:rsidRPr="009E43D8" w14:paraId="683862C7" w14:textId="77777777" w:rsidTr="00FC19FE">
        <w:trPr>
          <w:trHeight w:val="288"/>
        </w:trPr>
        <w:tc>
          <w:tcPr>
            <w:tcW w:w="4587" w:type="dxa"/>
            <w:tcBorders>
              <w:top w:val="nil"/>
              <w:left w:val="nil"/>
              <w:bottom w:val="nil"/>
              <w:right w:val="nil"/>
            </w:tcBorders>
            <w:noWrap/>
            <w:vAlign w:val="bottom"/>
          </w:tcPr>
          <w:p w14:paraId="603AFADB" w14:textId="77777777" w:rsidR="00FC19FE" w:rsidRPr="004B1A43" w:rsidRDefault="00FC19FE" w:rsidP="00FC19FE">
            <w:pPr>
              <w:autoSpaceDE/>
              <w:autoSpaceDN/>
              <w:adjustRightInd/>
              <w:jc w:val="both"/>
            </w:pPr>
            <w:r>
              <w:t>Depreciation and amortization</w:t>
            </w:r>
          </w:p>
        </w:tc>
        <w:tc>
          <w:tcPr>
            <w:tcW w:w="1152" w:type="dxa"/>
            <w:tcBorders>
              <w:top w:val="nil"/>
              <w:left w:val="nil"/>
              <w:bottom w:val="nil"/>
              <w:right w:val="nil"/>
            </w:tcBorders>
            <w:noWrap/>
            <w:vAlign w:val="bottom"/>
          </w:tcPr>
          <w:p w14:paraId="51B697D9" w14:textId="72C7D384" w:rsidR="00FC19FE" w:rsidRDefault="005B4C57" w:rsidP="00FC19FE">
            <w:pPr>
              <w:autoSpaceDE/>
              <w:autoSpaceDN/>
              <w:adjustRightInd/>
              <w:jc w:val="right"/>
            </w:pPr>
            <w:r>
              <w:t>64</w:t>
            </w:r>
          </w:p>
        </w:tc>
        <w:tc>
          <w:tcPr>
            <w:tcW w:w="276" w:type="dxa"/>
            <w:tcBorders>
              <w:top w:val="nil"/>
              <w:left w:val="nil"/>
              <w:bottom w:val="nil"/>
              <w:right w:val="nil"/>
            </w:tcBorders>
            <w:noWrap/>
            <w:vAlign w:val="bottom"/>
          </w:tcPr>
          <w:p w14:paraId="64EC3613" w14:textId="77777777" w:rsidR="00FC19FE" w:rsidRPr="004B1A43" w:rsidRDefault="00FC19FE" w:rsidP="00FC19FE">
            <w:pPr>
              <w:autoSpaceDE/>
              <w:autoSpaceDN/>
              <w:adjustRightInd/>
              <w:jc w:val="right"/>
            </w:pPr>
          </w:p>
        </w:tc>
        <w:tc>
          <w:tcPr>
            <w:tcW w:w="1095" w:type="dxa"/>
            <w:tcBorders>
              <w:top w:val="nil"/>
              <w:left w:val="nil"/>
              <w:bottom w:val="nil"/>
              <w:right w:val="nil"/>
            </w:tcBorders>
            <w:noWrap/>
            <w:vAlign w:val="bottom"/>
          </w:tcPr>
          <w:p w14:paraId="54E3535D" w14:textId="045C09D6" w:rsidR="00FC19FE" w:rsidRPr="009E43D8" w:rsidRDefault="005B4C57" w:rsidP="00FC19FE">
            <w:pPr>
              <w:autoSpaceDE/>
              <w:autoSpaceDN/>
              <w:adjustRightInd/>
              <w:jc w:val="right"/>
            </w:pPr>
            <w:r w:rsidRPr="009E43D8">
              <w:t>63</w:t>
            </w:r>
          </w:p>
        </w:tc>
        <w:tc>
          <w:tcPr>
            <w:tcW w:w="270" w:type="dxa"/>
            <w:tcBorders>
              <w:top w:val="nil"/>
              <w:left w:val="nil"/>
              <w:bottom w:val="nil"/>
              <w:right w:val="nil"/>
            </w:tcBorders>
          </w:tcPr>
          <w:p w14:paraId="3001F62C" w14:textId="77777777" w:rsidR="00FC19FE" w:rsidRDefault="00FC19FE" w:rsidP="00FC19FE">
            <w:pPr>
              <w:autoSpaceDE/>
              <w:autoSpaceDN/>
              <w:adjustRightInd/>
              <w:jc w:val="right"/>
            </w:pPr>
          </w:p>
        </w:tc>
        <w:tc>
          <w:tcPr>
            <w:tcW w:w="1170" w:type="dxa"/>
            <w:tcBorders>
              <w:top w:val="nil"/>
              <w:left w:val="nil"/>
              <w:bottom w:val="nil"/>
              <w:right w:val="nil"/>
            </w:tcBorders>
          </w:tcPr>
          <w:p w14:paraId="564DB23A" w14:textId="32432009" w:rsidR="00FC19FE" w:rsidRDefault="00762C4E" w:rsidP="00FC19FE">
            <w:pPr>
              <w:autoSpaceDE/>
              <w:autoSpaceDN/>
              <w:adjustRightInd/>
              <w:jc w:val="right"/>
            </w:pPr>
            <w:r>
              <w:t>194</w:t>
            </w:r>
          </w:p>
        </w:tc>
        <w:tc>
          <w:tcPr>
            <w:tcW w:w="270" w:type="dxa"/>
            <w:tcBorders>
              <w:top w:val="nil"/>
              <w:left w:val="nil"/>
              <w:bottom w:val="nil"/>
              <w:right w:val="nil"/>
            </w:tcBorders>
          </w:tcPr>
          <w:p w14:paraId="7DBB3668" w14:textId="77777777" w:rsidR="00FC19FE" w:rsidRDefault="00FC19FE" w:rsidP="00FC19FE">
            <w:pPr>
              <w:autoSpaceDE/>
              <w:autoSpaceDN/>
              <w:adjustRightInd/>
              <w:jc w:val="right"/>
            </w:pPr>
          </w:p>
        </w:tc>
        <w:tc>
          <w:tcPr>
            <w:tcW w:w="1080" w:type="dxa"/>
            <w:tcBorders>
              <w:top w:val="nil"/>
              <w:left w:val="nil"/>
              <w:bottom w:val="nil"/>
              <w:right w:val="nil"/>
            </w:tcBorders>
          </w:tcPr>
          <w:p w14:paraId="12231DBC" w14:textId="31110924" w:rsidR="00FC19FE" w:rsidRPr="009E43D8" w:rsidRDefault="00762C4E" w:rsidP="00FC19FE">
            <w:pPr>
              <w:autoSpaceDE/>
              <w:autoSpaceDN/>
              <w:adjustRightInd/>
              <w:jc w:val="right"/>
            </w:pPr>
            <w:r w:rsidRPr="009E43D8">
              <w:t>192</w:t>
            </w:r>
          </w:p>
        </w:tc>
      </w:tr>
      <w:tr w:rsidR="00FC19FE" w:rsidRPr="009E43D8" w14:paraId="06312767" w14:textId="77777777" w:rsidTr="00EC4288">
        <w:trPr>
          <w:trHeight w:val="312"/>
        </w:trPr>
        <w:tc>
          <w:tcPr>
            <w:tcW w:w="4587" w:type="dxa"/>
            <w:tcBorders>
              <w:top w:val="nil"/>
              <w:left w:val="nil"/>
              <w:bottom w:val="nil"/>
              <w:right w:val="nil"/>
            </w:tcBorders>
            <w:noWrap/>
            <w:vAlign w:val="bottom"/>
            <w:hideMark/>
          </w:tcPr>
          <w:p w14:paraId="56324FF2" w14:textId="77777777" w:rsidR="00FC19FE" w:rsidRPr="004B1A43" w:rsidRDefault="00FC19FE" w:rsidP="00FC19FE">
            <w:pPr>
              <w:autoSpaceDE/>
              <w:autoSpaceDN/>
              <w:adjustRightInd/>
              <w:ind w:left="144"/>
              <w:jc w:val="both"/>
            </w:pPr>
            <w:r w:rsidRPr="004B1A43">
              <w:t xml:space="preserve">Total Operating </w:t>
            </w:r>
            <w:r>
              <w:t>e</w:t>
            </w:r>
            <w:r w:rsidRPr="004B1A43">
              <w:t>xpenses</w:t>
            </w:r>
          </w:p>
        </w:tc>
        <w:tc>
          <w:tcPr>
            <w:tcW w:w="1152" w:type="dxa"/>
            <w:tcBorders>
              <w:top w:val="single" w:sz="4" w:space="0" w:color="auto"/>
              <w:left w:val="nil"/>
              <w:bottom w:val="single" w:sz="4" w:space="0" w:color="auto"/>
              <w:right w:val="nil"/>
            </w:tcBorders>
            <w:noWrap/>
            <w:vAlign w:val="bottom"/>
          </w:tcPr>
          <w:p w14:paraId="6331E714" w14:textId="2CAF93B6" w:rsidR="00FC19FE" w:rsidRPr="004B1A43" w:rsidRDefault="009A3352" w:rsidP="00FC19FE">
            <w:pPr>
              <w:autoSpaceDE/>
              <w:autoSpaceDN/>
              <w:adjustRightInd/>
              <w:jc w:val="right"/>
            </w:pPr>
            <w:r>
              <w:t>587</w:t>
            </w:r>
          </w:p>
        </w:tc>
        <w:tc>
          <w:tcPr>
            <w:tcW w:w="276" w:type="dxa"/>
            <w:tcBorders>
              <w:top w:val="nil"/>
              <w:left w:val="nil"/>
              <w:bottom w:val="nil"/>
              <w:right w:val="nil"/>
            </w:tcBorders>
            <w:noWrap/>
            <w:vAlign w:val="bottom"/>
          </w:tcPr>
          <w:p w14:paraId="0C7AE740" w14:textId="77777777" w:rsidR="00FC19FE" w:rsidRPr="004B1A43" w:rsidRDefault="00FC19FE" w:rsidP="00FC19FE">
            <w:pPr>
              <w:autoSpaceDE/>
              <w:autoSpaceDN/>
              <w:adjustRightInd/>
              <w:jc w:val="right"/>
            </w:pPr>
          </w:p>
        </w:tc>
        <w:tc>
          <w:tcPr>
            <w:tcW w:w="1095" w:type="dxa"/>
            <w:tcBorders>
              <w:top w:val="single" w:sz="4" w:space="0" w:color="auto"/>
              <w:left w:val="nil"/>
              <w:bottom w:val="single" w:sz="4" w:space="0" w:color="auto"/>
              <w:right w:val="nil"/>
            </w:tcBorders>
            <w:noWrap/>
            <w:vAlign w:val="bottom"/>
          </w:tcPr>
          <w:p w14:paraId="620634D3" w14:textId="623DED2F" w:rsidR="00FC19FE" w:rsidRPr="009E43D8" w:rsidRDefault="005B4C57" w:rsidP="00FC19FE">
            <w:pPr>
              <w:autoSpaceDE/>
              <w:autoSpaceDN/>
              <w:adjustRightInd/>
              <w:jc w:val="right"/>
            </w:pPr>
            <w:r w:rsidRPr="009E43D8">
              <w:t>562</w:t>
            </w:r>
          </w:p>
        </w:tc>
        <w:tc>
          <w:tcPr>
            <w:tcW w:w="270" w:type="dxa"/>
            <w:tcBorders>
              <w:left w:val="nil"/>
              <w:right w:val="nil"/>
            </w:tcBorders>
          </w:tcPr>
          <w:p w14:paraId="232573CC" w14:textId="77777777" w:rsidR="00FC19FE" w:rsidRDefault="00FC19FE" w:rsidP="00FC19FE">
            <w:pPr>
              <w:autoSpaceDE/>
              <w:autoSpaceDN/>
              <w:adjustRightInd/>
              <w:jc w:val="right"/>
            </w:pPr>
          </w:p>
        </w:tc>
        <w:tc>
          <w:tcPr>
            <w:tcW w:w="1170" w:type="dxa"/>
            <w:tcBorders>
              <w:top w:val="single" w:sz="4" w:space="0" w:color="auto"/>
              <w:left w:val="nil"/>
              <w:bottom w:val="single" w:sz="4" w:space="0" w:color="auto"/>
              <w:right w:val="nil"/>
            </w:tcBorders>
          </w:tcPr>
          <w:p w14:paraId="6ED81739" w14:textId="157142FE" w:rsidR="00FC19FE" w:rsidRDefault="00762C4E" w:rsidP="00FC19FE">
            <w:pPr>
              <w:autoSpaceDE/>
              <w:autoSpaceDN/>
              <w:adjustRightInd/>
              <w:jc w:val="right"/>
            </w:pPr>
            <w:r>
              <w:t>1,8</w:t>
            </w:r>
            <w:r w:rsidR="009A3352">
              <w:t>4</w:t>
            </w:r>
            <w:r w:rsidR="007A458B">
              <w:t>1</w:t>
            </w:r>
          </w:p>
        </w:tc>
        <w:tc>
          <w:tcPr>
            <w:tcW w:w="270" w:type="dxa"/>
            <w:tcBorders>
              <w:left w:val="nil"/>
              <w:right w:val="nil"/>
            </w:tcBorders>
          </w:tcPr>
          <w:p w14:paraId="72FFD5CC" w14:textId="77777777" w:rsidR="00FC19FE" w:rsidRDefault="00FC19FE" w:rsidP="00FC19FE">
            <w:pPr>
              <w:autoSpaceDE/>
              <w:autoSpaceDN/>
              <w:adjustRightInd/>
              <w:jc w:val="right"/>
            </w:pPr>
          </w:p>
        </w:tc>
        <w:tc>
          <w:tcPr>
            <w:tcW w:w="1080" w:type="dxa"/>
            <w:tcBorders>
              <w:top w:val="single" w:sz="4" w:space="0" w:color="auto"/>
              <w:left w:val="nil"/>
              <w:bottom w:val="single" w:sz="4" w:space="0" w:color="auto"/>
              <w:right w:val="nil"/>
            </w:tcBorders>
          </w:tcPr>
          <w:p w14:paraId="5BB9E91F" w14:textId="31D4A72B" w:rsidR="00FC19FE" w:rsidRPr="009E43D8" w:rsidRDefault="00762C4E" w:rsidP="00FC19FE">
            <w:pPr>
              <w:autoSpaceDE/>
              <w:autoSpaceDN/>
              <w:adjustRightInd/>
              <w:jc w:val="right"/>
            </w:pPr>
            <w:r w:rsidRPr="009E43D8">
              <w:t>1,602</w:t>
            </w:r>
          </w:p>
        </w:tc>
      </w:tr>
      <w:tr w:rsidR="00FC19FE" w:rsidRPr="009E43D8" w14:paraId="75F18A49" w14:textId="77777777" w:rsidTr="00EC4288">
        <w:trPr>
          <w:trHeight w:val="312"/>
        </w:trPr>
        <w:tc>
          <w:tcPr>
            <w:tcW w:w="4587" w:type="dxa"/>
            <w:tcBorders>
              <w:top w:val="nil"/>
              <w:left w:val="nil"/>
              <w:bottom w:val="nil"/>
              <w:right w:val="nil"/>
            </w:tcBorders>
            <w:noWrap/>
            <w:vAlign w:val="bottom"/>
            <w:hideMark/>
          </w:tcPr>
          <w:p w14:paraId="26C1456E" w14:textId="77777777" w:rsidR="00FC19FE" w:rsidRPr="004B1A43" w:rsidRDefault="00FC19FE" w:rsidP="00FC19FE">
            <w:pPr>
              <w:autoSpaceDE/>
              <w:autoSpaceDN/>
              <w:adjustRightInd/>
              <w:ind w:left="288"/>
              <w:jc w:val="both"/>
            </w:pPr>
            <w:r w:rsidRPr="004B1A43">
              <w:t xml:space="preserve">Operating </w:t>
            </w:r>
            <w:r>
              <w:t>l</w:t>
            </w:r>
            <w:r w:rsidRPr="004B1A43">
              <w:t>oss</w:t>
            </w:r>
          </w:p>
        </w:tc>
        <w:tc>
          <w:tcPr>
            <w:tcW w:w="1152" w:type="dxa"/>
            <w:tcBorders>
              <w:top w:val="single" w:sz="4" w:space="0" w:color="auto"/>
              <w:left w:val="nil"/>
              <w:bottom w:val="single" w:sz="4" w:space="0" w:color="auto"/>
              <w:right w:val="nil"/>
            </w:tcBorders>
            <w:noWrap/>
            <w:vAlign w:val="bottom"/>
          </w:tcPr>
          <w:p w14:paraId="5F914A7A" w14:textId="17109CBD" w:rsidR="00FC19FE" w:rsidRPr="004B1A43" w:rsidRDefault="005B4C57" w:rsidP="00FC19FE">
            <w:pPr>
              <w:autoSpaceDE/>
              <w:autoSpaceDN/>
              <w:adjustRightInd/>
              <w:jc w:val="right"/>
            </w:pPr>
            <w:r>
              <w:t>(1</w:t>
            </w:r>
            <w:r w:rsidR="007A458B">
              <w:t>09</w:t>
            </w:r>
            <w:r>
              <w:t>)</w:t>
            </w:r>
          </w:p>
        </w:tc>
        <w:tc>
          <w:tcPr>
            <w:tcW w:w="276" w:type="dxa"/>
            <w:tcBorders>
              <w:top w:val="nil"/>
              <w:left w:val="nil"/>
              <w:bottom w:val="nil"/>
              <w:right w:val="nil"/>
            </w:tcBorders>
            <w:noWrap/>
            <w:vAlign w:val="bottom"/>
          </w:tcPr>
          <w:p w14:paraId="63E30907" w14:textId="77777777" w:rsidR="00FC19FE" w:rsidRPr="004B1A43" w:rsidRDefault="00FC19FE" w:rsidP="00FC19FE">
            <w:pPr>
              <w:autoSpaceDE/>
              <w:autoSpaceDN/>
              <w:adjustRightInd/>
              <w:jc w:val="right"/>
            </w:pPr>
          </w:p>
        </w:tc>
        <w:tc>
          <w:tcPr>
            <w:tcW w:w="1095" w:type="dxa"/>
            <w:tcBorders>
              <w:top w:val="single" w:sz="4" w:space="0" w:color="auto"/>
              <w:left w:val="nil"/>
              <w:bottom w:val="single" w:sz="4" w:space="0" w:color="auto"/>
              <w:right w:val="nil"/>
            </w:tcBorders>
            <w:noWrap/>
            <w:vAlign w:val="bottom"/>
          </w:tcPr>
          <w:p w14:paraId="17DE422A" w14:textId="6CAB8859" w:rsidR="00FC19FE" w:rsidRPr="009E43D8" w:rsidRDefault="005B4C57" w:rsidP="00FC19FE">
            <w:pPr>
              <w:autoSpaceDE/>
              <w:autoSpaceDN/>
              <w:adjustRightInd/>
              <w:jc w:val="right"/>
            </w:pPr>
            <w:r w:rsidRPr="009E43D8">
              <w:t>(102)</w:t>
            </w:r>
          </w:p>
        </w:tc>
        <w:tc>
          <w:tcPr>
            <w:tcW w:w="270" w:type="dxa"/>
            <w:tcBorders>
              <w:left w:val="nil"/>
              <w:right w:val="nil"/>
            </w:tcBorders>
          </w:tcPr>
          <w:p w14:paraId="449CF8F5" w14:textId="77777777" w:rsidR="00FC19FE" w:rsidRPr="004B1A43" w:rsidRDefault="00FC19FE" w:rsidP="00FC19FE">
            <w:pPr>
              <w:autoSpaceDE/>
              <w:autoSpaceDN/>
              <w:adjustRightInd/>
              <w:jc w:val="right"/>
            </w:pPr>
          </w:p>
        </w:tc>
        <w:tc>
          <w:tcPr>
            <w:tcW w:w="1170" w:type="dxa"/>
            <w:tcBorders>
              <w:top w:val="single" w:sz="4" w:space="0" w:color="auto"/>
              <w:left w:val="nil"/>
              <w:bottom w:val="single" w:sz="4" w:space="0" w:color="auto"/>
              <w:right w:val="nil"/>
            </w:tcBorders>
          </w:tcPr>
          <w:p w14:paraId="5507B594" w14:textId="170325C3" w:rsidR="00FC19FE" w:rsidRPr="004B1A43" w:rsidRDefault="00762C4E" w:rsidP="00FC19FE">
            <w:pPr>
              <w:autoSpaceDE/>
              <w:autoSpaceDN/>
              <w:adjustRightInd/>
              <w:jc w:val="right"/>
            </w:pPr>
            <w:r>
              <w:t>(41</w:t>
            </w:r>
            <w:r w:rsidR="007A458B">
              <w:t>2</w:t>
            </w:r>
            <w:r>
              <w:t>)</w:t>
            </w:r>
          </w:p>
        </w:tc>
        <w:tc>
          <w:tcPr>
            <w:tcW w:w="270" w:type="dxa"/>
            <w:tcBorders>
              <w:left w:val="nil"/>
              <w:right w:val="nil"/>
            </w:tcBorders>
          </w:tcPr>
          <w:p w14:paraId="23CDE228" w14:textId="77777777" w:rsidR="00FC19FE" w:rsidRPr="004B1A43" w:rsidRDefault="00FC19FE" w:rsidP="00FC19FE">
            <w:pPr>
              <w:autoSpaceDE/>
              <w:autoSpaceDN/>
              <w:adjustRightInd/>
              <w:jc w:val="right"/>
            </w:pPr>
          </w:p>
        </w:tc>
        <w:tc>
          <w:tcPr>
            <w:tcW w:w="1080" w:type="dxa"/>
            <w:tcBorders>
              <w:top w:val="single" w:sz="4" w:space="0" w:color="auto"/>
              <w:left w:val="nil"/>
              <w:bottom w:val="single" w:sz="4" w:space="0" w:color="auto"/>
              <w:right w:val="nil"/>
            </w:tcBorders>
          </w:tcPr>
          <w:p w14:paraId="2C69E7E2" w14:textId="6F3DB17A" w:rsidR="00FC19FE" w:rsidRPr="009E43D8" w:rsidRDefault="00762C4E" w:rsidP="00FC19FE">
            <w:pPr>
              <w:autoSpaceDE/>
              <w:autoSpaceDN/>
              <w:adjustRightInd/>
              <w:jc w:val="right"/>
            </w:pPr>
            <w:r w:rsidRPr="009E43D8">
              <w:t>(270)</w:t>
            </w:r>
          </w:p>
        </w:tc>
      </w:tr>
      <w:tr w:rsidR="00FC19FE" w:rsidRPr="009E43D8" w14:paraId="58238158" w14:textId="77777777" w:rsidTr="00EC4288">
        <w:trPr>
          <w:trHeight w:val="312"/>
        </w:trPr>
        <w:tc>
          <w:tcPr>
            <w:tcW w:w="4587" w:type="dxa"/>
            <w:tcBorders>
              <w:top w:val="nil"/>
              <w:left w:val="nil"/>
              <w:bottom w:val="nil"/>
              <w:right w:val="nil"/>
            </w:tcBorders>
            <w:noWrap/>
            <w:vAlign w:val="bottom"/>
            <w:hideMark/>
          </w:tcPr>
          <w:p w14:paraId="4E5313C5" w14:textId="77777777" w:rsidR="00FC19FE" w:rsidRPr="004B1A43" w:rsidRDefault="00FC19FE" w:rsidP="00FC19FE">
            <w:pPr>
              <w:autoSpaceDE/>
              <w:autoSpaceDN/>
              <w:adjustRightInd/>
              <w:jc w:val="both"/>
            </w:pPr>
            <w:r w:rsidRPr="004B1A43">
              <w:rPr>
                <w:b/>
                <w:bCs/>
              </w:rPr>
              <w:t xml:space="preserve">Other </w:t>
            </w:r>
            <w:r>
              <w:rPr>
                <w:b/>
                <w:bCs/>
              </w:rPr>
              <w:t>i</w:t>
            </w:r>
            <w:r w:rsidRPr="004B1A43">
              <w:rPr>
                <w:b/>
                <w:bCs/>
              </w:rPr>
              <w:t>ncome</w:t>
            </w:r>
          </w:p>
        </w:tc>
        <w:tc>
          <w:tcPr>
            <w:tcW w:w="1152" w:type="dxa"/>
            <w:tcBorders>
              <w:top w:val="nil"/>
              <w:left w:val="nil"/>
              <w:bottom w:val="nil"/>
              <w:right w:val="nil"/>
            </w:tcBorders>
            <w:noWrap/>
            <w:vAlign w:val="bottom"/>
          </w:tcPr>
          <w:p w14:paraId="642A5324" w14:textId="77777777" w:rsidR="00FC19FE" w:rsidRPr="004B1A43" w:rsidRDefault="00FC19FE" w:rsidP="00FC19FE">
            <w:pPr>
              <w:autoSpaceDE/>
              <w:autoSpaceDN/>
              <w:adjustRightInd/>
              <w:jc w:val="right"/>
            </w:pPr>
          </w:p>
        </w:tc>
        <w:tc>
          <w:tcPr>
            <w:tcW w:w="276" w:type="dxa"/>
            <w:tcBorders>
              <w:top w:val="nil"/>
              <w:left w:val="nil"/>
              <w:bottom w:val="nil"/>
              <w:right w:val="nil"/>
            </w:tcBorders>
            <w:noWrap/>
            <w:vAlign w:val="bottom"/>
          </w:tcPr>
          <w:p w14:paraId="46C47F78" w14:textId="77777777" w:rsidR="00FC19FE" w:rsidRPr="004B1A43" w:rsidRDefault="00FC19FE" w:rsidP="00FC19FE">
            <w:pPr>
              <w:autoSpaceDE/>
              <w:autoSpaceDN/>
              <w:adjustRightInd/>
              <w:jc w:val="right"/>
            </w:pPr>
          </w:p>
        </w:tc>
        <w:tc>
          <w:tcPr>
            <w:tcW w:w="1095" w:type="dxa"/>
            <w:tcBorders>
              <w:top w:val="nil"/>
              <w:left w:val="nil"/>
              <w:bottom w:val="nil"/>
              <w:right w:val="nil"/>
            </w:tcBorders>
            <w:noWrap/>
            <w:vAlign w:val="bottom"/>
          </w:tcPr>
          <w:p w14:paraId="7B5AEDF1" w14:textId="77777777" w:rsidR="00FC19FE" w:rsidRPr="009E43D8" w:rsidRDefault="00FC19FE" w:rsidP="00FC19FE">
            <w:pPr>
              <w:autoSpaceDE/>
              <w:autoSpaceDN/>
              <w:adjustRightInd/>
              <w:jc w:val="right"/>
            </w:pPr>
          </w:p>
        </w:tc>
        <w:tc>
          <w:tcPr>
            <w:tcW w:w="270" w:type="dxa"/>
            <w:tcBorders>
              <w:top w:val="nil"/>
              <w:left w:val="nil"/>
              <w:bottom w:val="nil"/>
              <w:right w:val="nil"/>
            </w:tcBorders>
          </w:tcPr>
          <w:p w14:paraId="6A671E19" w14:textId="77777777" w:rsidR="00FC19FE" w:rsidRPr="004B1A43" w:rsidRDefault="00FC19FE" w:rsidP="00FC19FE">
            <w:pPr>
              <w:autoSpaceDE/>
              <w:autoSpaceDN/>
              <w:adjustRightInd/>
              <w:jc w:val="right"/>
            </w:pPr>
          </w:p>
        </w:tc>
        <w:tc>
          <w:tcPr>
            <w:tcW w:w="1170" w:type="dxa"/>
            <w:tcBorders>
              <w:top w:val="nil"/>
              <w:left w:val="nil"/>
              <w:bottom w:val="nil"/>
              <w:right w:val="nil"/>
            </w:tcBorders>
          </w:tcPr>
          <w:p w14:paraId="10FAA67D" w14:textId="77777777" w:rsidR="00FC19FE" w:rsidRPr="004B1A43" w:rsidRDefault="00FC19FE" w:rsidP="00FC19FE">
            <w:pPr>
              <w:autoSpaceDE/>
              <w:autoSpaceDN/>
              <w:adjustRightInd/>
              <w:jc w:val="right"/>
            </w:pPr>
          </w:p>
        </w:tc>
        <w:tc>
          <w:tcPr>
            <w:tcW w:w="270" w:type="dxa"/>
            <w:tcBorders>
              <w:top w:val="nil"/>
              <w:left w:val="nil"/>
              <w:bottom w:val="nil"/>
              <w:right w:val="nil"/>
            </w:tcBorders>
          </w:tcPr>
          <w:p w14:paraId="7AD1B11E" w14:textId="77777777" w:rsidR="00FC19FE" w:rsidRPr="004B1A43" w:rsidRDefault="00FC19FE" w:rsidP="00FC19FE">
            <w:pPr>
              <w:autoSpaceDE/>
              <w:autoSpaceDN/>
              <w:adjustRightInd/>
              <w:jc w:val="right"/>
            </w:pPr>
          </w:p>
        </w:tc>
        <w:tc>
          <w:tcPr>
            <w:tcW w:w="1080" w:type="dxa"/>
            <w:tcBorders>
              <w:top w:val="nil"/>
              <w:left w:val="nil"/>
              <w:bottom w:val="nil"/>
              <w:right w:val="nil"/>
            </w:tcBorders>
          </w:tcPr>
          <w:p w14:paraId="5984D671" w14:textId="77777777" w:rsidR="00FC19FE" w:rsidRPr="009E43D8" w:rsidRDefault="00FC19FE" w:rsidP="00FC19FE">
            <w:pPr>
              <w:autoSpaceDE/>
              <w:autoSpaceDN/>
              <w:adjustRightInd/>
              <w:jc w:val="right"/>
            </w:pPr>
          </w:p>
        </w:tc>
      </w:tr>
      <w:tr w:rsidR="00FC19FE" w:rsidRPr="009E43D8" w14:paraId="3D9DFCA3" w14:textId="77777777" w:rsidTr="00EC4288">
        <w:trPr>
          <w:trHeight w:val="288"/>
        </w:trPr>
        <w:tc>
          <w:tcPr>
            <w:tcW w:w="4587" w:type="dxa"/>
            <w:tcBorders>
              <w:top w:val="nil"/>
              <w:left w:val="nil"/>
              <w:bottom w:val="nil"/>
              <w:right w:val="nil"/>
            </w:tcBorders>
            <w:noWrap/>
            <w:vAlign w:val="bottom"/>
            <w:hideMark/>
          </w:tcPr>
          <w:p w14:paraId="6525F411" w14:textId="2F7E649B" w:rsidR="00FC19FE" w:rsidRPr="004B1A43" w:rsidRDefault="000C18AF" w:rsidP="00FC19FE">
            <w:pPr>
              <w:autoSpaceDE/>
              <w:autoSpaceDN/>
              <w:adjustRightInd/>
              <w:jc w:val="both"/>
              <w:rPr>
                <w:b/>
                <w:bCs/>
              </w:rPr>
            </w:pPr>
            <w:r w:rsidRPr="000B0E26">
              <w:t>Interest</w:t>
            </w:r>
            <w:r>
              <w:t xml:space="preserve"> </w:t>
            </w:r>
            <w:r w:rsidR="00FC19FE" w:rsidRPr="004B1A43">
              <w:t>income</w:t>
            </w:r>
          </w:p>
        </w:tc>
        <w:tc>
          <w:tcPr>
            <w:tcW w:w="1152" w:type="dxa"/>
            <w:tcBorders>
              <w:top w:val="nil"/>
              <w:left w:val="nil"/>
              <w:bottom w:val="nil"/>
              <w:right w:val="nil"/>
            </w:tcBorders>
            <w:noWrap/>
            <w:vAlign w:val="bottom"/>
          </w:tcPr>
          <w:p w14:paraId="7C112DFA" w14:textId="19D7955F" w:rsidR="00FC19FE" w:rsidRPr="004B1A43" w:rsidRDefault="005B4C57" w:rsidP="00FC19FE">
            <w:pPr>
              <w:autoSpaceDE/>
              <w:autoSpaceDN/>
              <w:adjustRightInd/>
              <w:jc w:val="right"/>
              <w:rPr>
                <w:bCs/>
              </w:rPr>
            </w:pPr>
            <w:r>
              <w:rPr>
                <w:bCs/>
              </w:rPr>
              <w:t>2</w:t>
            </w:r>
          </w:p>
        </w:tc>
        <w:tc>
          <w:tcPr>
            <w:tcW w:w="276" w:type="dxa"/>
            <w:tcBorders>
              <w:top w:val="nil"/>
              <w:left w:val="nil"/>
              <w:bottom w:val="nil"/>
              <w:right w:val="nil"/>
            </w:tcBorders>
            <w:noWrap/>
            <w:vAlign w:val="bottom"/>
          </w:tcPr>
          <w:p w14:paraId="3A1DCF0D" w14:textId="77777777" w:rsidR="00FC19FE" w:rsidRPr="004B1A43" w:rsidRDefault="00FC19FE" w:rsidP="00FC19FE">
            <w:pPr>
              <w:autoSpaceDE/>
              <w:autoSpaceDN/>
              <w:adjustRightInd/>
              <w:jc w:val="right"/>
            </w:pPr>
          </w:p>
        </w:tc>
        <w:tc>
          <w:tcPr>
            <w:tcW w:w="1095" w:type="dxa"/>
            <w:tcBorders>
              <w:top w:val="nil"/>
              <w:left w:val="nil"/>
              <w:bottom w:val="nil"/>
              <w:right w:val="nil"/>
            </w:tcBorders>
            <w:noWrap/>
            <w:vAlign w:val="bottom"/>
          </w:tcPr>
          <w:p w14:paraId="249CE9AF" w14:textId="0B9AB193" w:rsidR="00FC19FE" w:rsidRPr="00134F61" w:rsidRDefault="005B4C57" w:rsidP="00FC19FE">
            <w:pPr>
              <w:autoSpaceDE/>
              <w:autoSpaceDN/>
              <w:adjustRightInd/>
              <w:jc w:val="right"/>
            </w:pPr>
            <w:r w:rsidRPr="00134F61">
              <w:t>5</w:t>
            </w:r>
          </w:p>
        </w:tc>
        <w:tc>
          <w:tcPr>
            <w:tcW w:w="270" w:type="dxa"/>
            <w:tcBorders>
              <w:top w:val="nil"/>
              <w:left w:val="nil"/>
              <w:bottom w:val="nil"/>
              <w:right w:val="nil"/>
            </w:tcBorders>
          </w:tcPr>
          <w:p w14:paraId="32BDAEC0" w14:textId="77777777" w:rsidR="00FC19FE" w:rsidRDefault="00FC19FE" w:rsidP="00FC19FE">
            <w:pPr>
              <w:autoSpaceDE/>
              <w:autoSpaceDN/>
              <w:adjustRightInd/>
              <w:jc w:val="right"/>
            </w:pPr>
          </w:p>
        </w:tc>
        <w:tc>
          <w:tcPr>
            <w:tcW w:w="1170" w:type="dxa"/>
            <w:tcBorders>
              <w:top w:val="nil"/>
              <w:left w:val="nil"/>
              <w:bottom w:val="nil"/>
              <w:right w:val="nil"/>
            </w:tcBorders>
          </w:tcPr>
          <w:p w14:paraId="31E5BCDD" w14:textId="19093AF3" w:rsidR="00FC19FE" w:rsidRDefault="00762C4E" w:rsidP="00FC19FE">
            <w:pPr>
              <w:autoSpaceDE/>
              <w:autoSpaceDN/>
              <w:adjustRightInd/>
              <w:jc w:val="right"/>
            </w:pPr>
            <w:r>
              <w:t>6</w:t>
            </w:r>
          </w:p>
        </w:tc>
        <w:tc>
          <w:tcPr>
            <w:tcW w:w="270" w:type="dxa"/>
            <w:tcBorders>
              <w:top w:val="nil"/>
              <w:left w:val="nil"/>
              <w:bottom w:val="nil"/>
              <w:right w:val="nil"/>
            </w:tcBorders>
          </w:tcPr>
          <w:p w14:paraId="558B3E34" w14:textId="77777777" w:rsidR="00FC19FE" w:rsidRDefault="00FC19FE" w:rsidP="00FC19FE">
            <w:pPr>
              <w:autoSpaceDE/>
              <w:autoSpaceDN/>
              <w:adjustRightInd/>
              <w:jc w:val="right"/>
            </w:pPr>
          </w:p>
        </w:tc>
        <w:tc>
          <w:tcPr>
            <w:tcW w:w="1080" w:type="dxa"/>
            <w:tcBorders>
              <w:top w:val="nil"/>
              <w:left w:val="nil"/>
              <w:bottom w:val="nil"/>
              <w:right w:val="nil"/>
            </w:tcBorders>
          </w:tcPr>
          <w:p w14:paraId="59DE3B83" w14:textId="060FC7EE" w:rsidR="00FC19FE" w:rsidRPr="009E43D8" w:rsidRDefault="00762C4E" w:rsidP="00FC19FE">
            <w:pPr>
              <w:autoSpaceDE/>
              <w:autoSpaceDN/>
              <w:adjustRightInd/>
              <w:jc w:val="right"/>
            </w:pPr>
            <w:r w:rsidRPr="009E43D8">
              <w:t>144</w:t>
            </w:r>
          </w:p>
        </w:tc>
      </w:tr>
      <w:tr w:rsidR="00FC19FE" w:rsidRPr="009E43D8" w14:paraId="0189E2A7" w14:textId="77777777" w:rsidTr="00EC4288">
        <w:trPr>
          <w:trHeight w:val="288"/>
        </w:trPr>
        <w:tc>
          <w:tcPr>
            <w:tcW w:w="4587" w:type="dxa"/>
            <w:tcBorders>
              <w:top w:val="nil"/>
              <w:left w:val="nil"/>
              <w:bottom w:val="nil"/>
              <w:right w:val="nil"/>
            </w:tcBorders>
            <w:noWrap/>
            <w:vAlign w:val="bottom"/>
            <w:hideMark/>
          </w:tcPr>
          <w:p w14:paraId="70F1D034" w14:textId="05D3D589" w:rsidR="00FC19FE" w:rsidRPr="004B1A43" w:rsidRDefault="000B0E26" w:rsidP="00FC19FE">
            <w:pPr>
              <w:autoSpaceDE/>
              <w:autoSpaceDN/>
              <w:adjustRightInd/>
              <w:jc w:val="both"/>
            </w:pPr>
            <w:r>
              <w:t>Investment Income</w:t>
            </w:r>
          </w:p>
        </w:tc>
        <w:tc>
          <w:tcPr>
            <w:tcW w:w="1152" w:type="dxa"/>
            <w:tcBorders>
              <w:top w:val="nil"/>
              <w:left w:val="nil"/>
              <w:bottom w:val="nil"/>
              <w:right w:val="nil"/>
            </w:tcBorders>
            <w:noWrap/>
            <w:vAlign w:val="bottom"/>
          </w:tcPr>
          <w:p w14:paraId="07CD56AD" w14:textId="14D10805" w:rsidR="00FC19FE" w:rsidRPr="004B1A43" w:rsidRDefault="005B4C57" w:rsidP="00FC19FE">
            <w:pPr>
              <w:autoSpaceDE/>
              <w:autoSpaceDN/>
              <w:adjustRightInd/>
              <w:jc w:val="right"/>
            </w:pPr>
            <w:r>
              <w:t>30</w:t>
            </w:r>
          </w:p>
        </w:tc>
        <w:tc>
          <w:tcPr>
            <w:tcW w:w="276" w:type="dxa"/>
            <w:tcBorders>
              <w:top w:val="nil"/>
              <w:left w:val="nil"/>
              <w:bottom w:val="nil"/>
              <w:right w:val="nil"/>
            </w:tcBorders>
            <w:noWrap/>
            <w:vAlign w:val="bottom"/>
          </w:tcPr>
          <w:p w14:paraId="6B82E105" w14:textId="77777777" w:rsidR="00FC19FE" w:rsidRPr="004B1A43" w:rsidRDefault="00FC19FE" w:rsidP="00FC19FE">
            <w:pPr>
              <w:autoSpaceDE/>
              <w:autoSpaceDN/>
              <w:adjustRightInd/>
              <w:jc w:val="right"/>
            </w:pPr>
          </w:p>
        </w:tc>
        <w:tc>
          <w:tcPr>
            <w:tcW w:w="1095" w:type="dxa"/>
            <w:tcBorders>
              <w:top w:val="nil"/>
              <w:left w:val="nil"/>
              <w:bottom w:val="nil"/>
              <w:right w:val="nil"/>
            </w:tcBorders>
            <w:noWrap/>
            <w:vAlign w:val="bottom"/>
          </w:tcPr>
          <w:p w14:paraId="16FF632C" w14:textId="00A67C1A" w:rsidR="00FC19FE" w:rsidRPr="009E43D8" w:rsidRDefault="005B4C57" w:rsidP="00FC19FE">
            <w:pPr>
              <w:autoSpaceDE/>
              <w:autoSpaceDN/>
              <w:adjustRightInd/>
              <w:jc w:val="right"/>
            </w:pPr>
            <w:r w:rsidRPr="009E43D8">
              <w:t>51</w:t>
            </w:r>
          </w:p>
        </w:tc>
        <w:tc>
          <w:tcPr>
            <w:tcW w:w="270" w:type="dxa"/>
            <w:tcBorders>
              <w:top w:val="nil"/>
              <w:left w:val="nil"/>
              <w:bottom w:val="nil"/>
              <w:right w:val="nil"/>
            </w:tcBorders>
          </w:tcPr>
          <w:p w14:paraId="5E8C4741" w14:textId="77777777" w:rsidR="00FC19FE" w:rsidRDefault="00FC19FE" w:rsidP="00FC19FE">
            <w:pPr>
              <w:autoSpaceDE/>
              <w:autoSpaceDN/>
              <w:adjustRightInd/>
              <w:jc w:val="right"/>
            </w:pPr>
          </w:p>
        </w:tc>
        <w:tc>
          <w:tcPr>
            <w:tcW w:w="1170" w:type="dxa"/>
            <w:tcBorders>
              <w:top w:val="nil"/>
              <w:left w:val="nil"/>
              <w:bottom w:val="nil"/>
              <w:right w:val="nil"/>
            </w:tcBorders>
          </w:tcPr>
          <w:p w14:paraId="46967243" w14:textId="431C1FA3" w:rsidR="00FC19FE" w:rsidRDefault="00762C4E" w:rsidP="00FC19FE">
            <w:pPr>
              <w:autoSpaceDE/>
              <w:autoSpaceDN/>
              <w:adjustRightInd/>
              <w:jc w:val="right"/>
            </w:pPr>
            <w:r>
              <w:t>106</w:t>
            </w:r>
          </w:p>
        </w:tc>
        <w:tc>
          <w:tcPr>
            <w:tcW w:w="270" w:type="dxa"/>
            <w:tcBorders>
              <w:top w:val="nil"/>
              <w:left w:val="nil"/>
              <w:bottom w:val="nil"/>
              <w:right w:val="nil"/>
            </w:tcBorders>
          </w:tcPr>
          <w:p w14:paraId="14AA5287" w14:textId="77777777" w:rsidR="00FC19FE" w:rsidRDefault="00FC19FE" w:rsidP="00FC19FE">
            <w:pPr>
              <w:autoSpaceDE/>
              <w:autoSpaceDN/>
              <w:adjustRightInd/>
              <w:jc w:val="right"/>
            </w:pPr>
          </w:p>
        </w:tc>
        <w:tc>
          <w:tcPr>
            <w:tcW w:w="1080" w:type="dxa"/>
            <w:tcBorders>
              <w:top w:val="nil"/>
              <w:left w:val="nil"/>
              <w:bottom w:val="nil"/>
              <w:right w:val="nil"/>
            </w:tcBorders>
          </w:tcPr>
          <w:p w14:paraId="652CC4E1" w14:textId="423B4C58" w:rsidR="00FC19FE" w:rsidRPr="009E43D8" w:rsidRDefault="00762C4E" w:rsidP="00FC19FE">
            <w:pPr>
              <w:autoSpaceDE/>
              <w:autoSpaceDN/>
              <w:adjustRightInd/>
              <w:jc w:val="right"/>
            </w:pPr>
            <w:r w:rsidRPr="009E43D8">
              <w:t>(47)</w:t>
            </w:r>
          </w:p>
        </w:tc>
      </w:tr>
      <w:tr w:rsidR="00FC19FE" w:rsidRPr="009E43D8" w14:paraId="057339E0" w14:textId="77777777" w:rsidTr="00FC19FE">
        <w:trPr>
          <w:trHeight w:val="288"/>
        </w:trPr>
        <w:tc>
          <w:tcPr>
            <w:tcW w:w="4587" w:type="dxa"/>
            <w:tcBorders>
              <w:top w:val="nil"/>
              <w:left w:val="nil"/>
              <w:bottom w:val="nil"/>
              <w:right w:val="nil"/>
            </w:tcBorders>
            <w:noWrap/>
            <w:vAlign w:val="bottom"/>
          </w:tcPr>
          <w:p w14:paraId="21C8DE43" w14:textId="77777777" w:rsidR="00FC19FE" w:rsidRPr="004B1A43" w:rsidRDefault="00FC19FE" w:rsidP="00FC19FE">
            <w:pPr>
              <w:autoSpaceDE/>
              <w:autoSpaceDN/>
              <w:adjustRightInd/>
              <w:jc w:val="both"/>
            </w:pPr>
            <w:r>
              <w:t>Other</w:t>
            </w:r>
          </w:p>
        </w:tc>
        <w:tc>
          <w:tcPr>
            <w:tcW w:w="1152" w:type="dxa"/>
            <w:tcBorders>
              <w:top w:val="nil"/>
              <w:left w:val="nil"/>
              <w:bottom w:val="nil"/>
              <w:right w:val="nil"/>
            </w:tcBorders>
            <w:noWrap/>
            <w:vAlign w:val="bottom"/>
          </w:tcPr>
          <w:p w14:paraId="32036FA8" w14:textId="7A6E3C4B" w:rsidR="00FC19FE" w:rsidRDefault="005B4C57" w:rsidP="00FC19FE">
            <w:pPr>
              <w:autoSpaceDE/>
              <w:autoSpaceDN/>
              <w:adjustRightInd/>
              <w:jc w:val="right"/>
            </w:pPr>
            <w:r>
              <w:t>--</w:t>
            </w:r>
          </w:p>
        </w:tc>
        <w:tc>
          <w:tcPr>
            <w:tcW w:w="276" w:type="dxa"/>
            <w:tcBorders>
              <w:top w:val="nil"/>
              <w:left w:val="nil"/>
              <w:bottom w:val="nil"/>
              <w:right w:val="nil"/>
            </w:tcBorders>
            <w:noWrap/>
            <w:vAlign w:val="bottom"/>
          </w:tcPr>
          <w:p w14:paraId="48DF51AA" w14:textId="77777777" w:rsidR="00FC19FE" w:rsidRPr="004B1A43" w:rsidRDefault="00FC19FE" w:rsidP="00FC19FE">
            <w:pPr>
              <w:autoSpaceDE/>
              <w:autoSpaceDN/>
              <w:adjustRightInd/>
              <w:jc w:val="right"/>
            </w:pPr>
          </w:p>
        </w:tc>
        <w:tc>
          <w:tcPr>
            <w:tcW w:w="1095" w:type="dxa"/>
            <w:tcBorders>
              <w:top w:val="nil"/>
              <w:left w:val="nil"/>
              <w:bottom w:val="nil"/>
              <w:right w:val="nil"/>
            </w:tcBorders>
            <w:noWrap/>
            <w:vAlign w:val="bottom"/>
          </w:tcPr>
          <w:p w14:paraId="3A4CCFD8" w14:textId="29CF7943" w:rsidR="00FC19FE" w:rsidRPr="009E43D8" w:rsidRDefault="005B4C57" w:rsidP="00FC19FE">
            <w:pPr>
              <w:autoSpaceDE/>
              <w:autoSpaceDN/>
              <w:adjustRightInd/>
              <w:jc w:val="right"/>
            </w:pPr>
            <w:r w:rsidRPr="009E43D8">
              <w:t>(1)</w:t>
            </w:r>
          </w:p>
        </w:tc>
        <w:tc>
          <w:tcPr>
            <w:tcW w:w="270" w:type="dxa"/>
            <w:tcBorders>
              <w:top w:val="nil"/>
              <w:left w:val="nil"/>
              <w:bottom w:val="nil"/>
              <w:right w:val="nil"/>
            </w:tcBorders>
          </w:tcPr>
          <w:p w14:paraId="2FCE74FA" w14:textId="77777777" w:rsidR="00FC19FE" w:rsidRDefault="00FC19FE" w:rsidP="00FC19FE">
            <w:pPr>
              <w:autoSpaceDE/>
              <w:autoSpaceDN/>
              <w:adjustRightInd/>
              <w:jc w:val="right"/>
            </w:pPr>
          </w:p>
        </w:tc>
        <w:tc>
          <w:tcPr>
            <w:tcW w:w="1170" w:type="dxa"/>
            <w:tcBorders>
              <w:top w:val="nil"/>
              <w:left w:val="nil"/>
              <w:bottom w:val="nil"/>
              <w:right w:val="nil"/>
            </w:tcBorders>
          </w:tcPr>
          <w:p w14:paraId="1E6A56B1" w14:textId="1288CA60" w:rsidR="00FC19FE" w:rsidRDefault="00762C4E" w:rsidP="00FC19FE">
            <w:pPr>
              <w:autoSpaceDE/>
              <w:autoSpaceDN/>
              <w:adjustRightInd/>
              <w:jc w:val="right"/>
            </w:pPr>
            <w:r>
              <w:t>18</w:t>
            </w:r>
          </w:p>
        </w:tc>
        <w:tc>
          <w:tcPr>
            <w:tcW w:w="270" w:type="dxa"/>
            <w:tcBorders>
              <w:top w:val="nil"/>
              <w:left w:val="nil"/>
              <w:bottom w:val="nil"/>
              <w:right w:val="nil"/>
            </w:tcBorders>
          </w:tcPr>
          <w:p w14:paraId="708C7CCB" w14:textId="77777777" w:rsidR="00FC19FE" w:rsidRDefault="00FC19FE" w:rsidP="00FC19FE">
            <w:pPr>
              <w:autoSpaceDE/>
              <w:autoSpaceDN/>
              <w:adjustRightInd/>
              <w:jc w:val="right"/>
            </w:pPr>
          </w:p>
        </w:tc>
        <w:tc>
          <w:tcPr>
            <w:tcW w:w="1080" w:type="dxa"/>
            <w:tcBorders>
              <w:top w:val="nil"/>
              <w:left w:val="nil"/>
              <w:bottom w:val="nil"/>
              <w:right w:val="nil"/>
            </w:tcBorders>
          </w:tcPr>
          <w:p w14:paraId="589C764C" w14:textId="28E28AEC" w:rsidR="00FC19FE" w:rsidRPr="009E43D8" w:rsidRDefault="00762C4E" w:rsidP="00FC19FE">
            <w:pPr>
              <w:autoSpaceDE/>
              <w:autoSpaceDN/>
              <w:adjustRightInd/>
              <w:jc w:val="right"/>
            </w:pPr>
            <w:r w:rsidRPr="009E43D8">
              <w:t>(1)</w:t>
            </w:r>
          </w:p>
        </w:tc>
      </w:tr>
      <w:tr w:rsidR="00FC19FE" w:rsidRPr="009E43D8" w14:paraId="6D664CD8" w14:textId="77777777" w:rsidTr="00EC4288">
        <w:trPr>
          <w:trHeight w:val="312"/>
        </w:trPr>
        <w:tc>
          <w:tcPr>
            <w:tcW w:w="4587" w:type="dxa"/>
            <w:tcBorders>
              <w:top w:val="nil"/>
              <w:left w:val="nil"/>
              <w:bottom w:val="nil"/>
              <w:right w:val="nil"/>
            </w:tcBorders>
            <w:noWrap/>
            <w:vAlign w:val="bottom"/>
            <w:hideMark/>
          </w:tcPr>
          <w:p w14:paraId="307FE7F2" w14:textId="77777777" w:rsidR="00FC19FE" w:rsidRPr="004B1A43" w:rsidRDefault="00FC19FE" w:rsidP="00FC19FE">
            <w:pPr>
              <w:autoSpaceDE/>
              <w:autoSpaceDN/>
              <w:adjustRightInd/>
              <w:ind w:left="144"/>
              <w:jc w:val="both"/>
            </w:pPr>
            <w:r w:rsidRPr="004B1A43">
              <w:t xml:space="preserve">Total Other </w:t>
            </w:r>
            <w:r>
              <w:t>i</w:t>
            </w:r>
            <w:r w:rsidRPr="004B1A43">
              <w:t>ncome</w:t>
            </w:r>
          </w:p>
        </w:tc>
        <w:tc>
          <w:tcPr>
            <w:tcW w:w="1152" w:type="dxa"/>
            <w:tcBorders>
              <w:top w:val="single" w:sz="4" w:space="0" w:color="auto"/>
              <w:left w:val="nil"/>
              <w:bottom w:val="single" w:sz="4" w:space="0" w:color="auto"/>
              <w:right w:val="nil"/>
            </w:tcBorders>
            <w:noWrap/>
            <w:vAlign w:val="bottom"/>
          </w:tcPr>
          <w:p w14:paraId="35F1F0C7" w14:textId="50FBE7BC" w:rsidR="00FC19FE" w:rsidRPr="004B1A43" w:rsidRDefault="005B4C57" w:rsidP="00FC19FE">
            <w:pPr>
              <w:autoSpaceDE/>
              <w:autoSpaceDN/>
              <w:adjustRightInd/>
              <w:jc w:val="right"/>
            </w:pPr>
            <w:r>
              <w:t>32</w:t>
            </w:r>
          </w:p>
        </w:tc>
        <w:tc>
          <w:tcPr>
            <w:tcW w:w="276" w:type="dxa"/>
            <w:tcBorders>
              <w:left w:val="nil"/>
              <w:bottom w:val="nil"/>
              <w:right w:val="nil"/>
            </w:tcBorders>
            <w:noWrap/>
            <w:vAlign w:val="bottom"/>
          </w:tcPr>
          <w:p w14:paraId="1DAECF2C" w14:textId="77777777" w:rsidR="00FC19FE" w:rsidRPr="004B1A43" w:rsidRDefault="00FC19FE" w:rsidP="00FC19FE">
            <w:pPr>
              <w:autoSpaceDE/>
              <w:autoSpaceDN/>
              <w:adjustRightInd/>
              <w:jc w:val="right"/>
            </w:pPr>
          </w:p>
        </w:tc>
        <w:tc>
          <w:tcPr>
            <w:tcW w:w="1095" w:type="dxa"/>
            <w:tcBorders>
              <w:top w:val="single" w:sz="4" w:space="0" w:color="auto"/>
              <w:left w:val="nil"/>
              <w:bottom w:val="single" w:sz="4" w:space="0" w:color="auto"/>
              <w:right w:val="nil"/>
            </w:tcBorders>
            <w:noWrap/>
            <w:vAlign w:val="bottom"/>
          </w:tcPr>
          <w:p w14:paraId="564E8C65" w14:textId="1FB9A869" w:rsidR="00FC19FE" w:rsidRPr="009E43D8" w:rsidRDefault="005B4C57" w:rsidP="00FC19FE">
            <w:pPr>
              <w:autoSpaceDE/>
              <w:autoSpaceDN/>
              <w:adjustRightInd/>
              <w:jc w:val="right"/>
            </w:pPr>
            <w:r w:rsidRPr="009E43D8">
              <w:t>55</w:t>
            </w:r>
          </w:p>
        </w:tc>
        <w:tc>
          <w:tcPr>
            <w:tcW w:w="270" w:type="dxa"/>
            <w:tcBorders>
              <w:left w:val="nil"/>
              <w:right w:val="nil"/>
            </w:tcBorders>
          </w:tcPr>
          <w:p w14:paraId="1E6CEE7D" w14:textId="77777777" w:rsidR="00FC19FE" w:rsidRPr="004B1A43" w:rsidRDefault="00FC19FE" w:rsidP="00FC19FE">
            <w:pPr>
              <w:autoSpaceDE/>
              <w:autoSpaceDN/>
              <w:adjustRightInd/>
              <w:jc w:val="right"/>
            </w:pPr>
          </w:p>
        </w:tc>
        <w:tc>
          <w:tcPr>
            <w:tcW w:w="1170" w:type="dxa"/>
            <w:tcBorders>
              <w:top w:val="single" w:sz="4" w:space="0" w:color="auto"/>
              <w:left w:val="nil"/>
              <w:bottom w:val="single" w:sz="4" w:space="0" w:color="auto"/>
              <w:right w:val="nil"/>
            </w:tcBorders>
          </w:tcPr>
          <w:p w14:paraId="5405E52F" w14:textId="6E05FEA0" w:rsidR="00FC19FE" w:rsidRPr="004B1A43" w:rsidRDefault="00762C4E" w:rsidP="00FC19FE">
            <w:pPr>
              <w:autoSpaceDE/>
              <w:autoSpaceDN/>
              <w:adjustRightInd/>
              <w:jc w:val="right"/>
            </w:pPr>
            <w:r>
              <w:t>130</w:t>
            </w:r>
          </w:p>
        </w:tc>
        <w:tc>
          <w:tcPr>
            <w:tcW w:w="270" w:type="dxa"/>
            <w:tcBorders>
              <w:left w:val="nil"/>
              <w:right w:val="nil"/>
            </w:tcBorders>
          </w:tcPr>
          <w:p w14:paraId="013629A0" w14:textId="77777777" w:rsidR="00FC19FE" w:rsidRPr="004B1A43" w:rsidRDefault="00FC19FE" w:rsidP="00FC19FE">
            <w:pPr>
              <w:autoSpaceDE/>
              <w:autoSpaceDN/>
              <w:adjustRightInd/>
              <w:jc w:val="right"/>
            </w:pPr>
          </w:p>
        </w:tc>
        <w:tc>
          <w:tcPr>
            <w:tcW w:w="1080" w:type="dxa"/>
            <w:tcBorders>
              <w:top w:val="single" w:sz="4" w:space="0" w:color="auto"/>
              <w:left w:val="nil"/>
              <w:bottom w:val="single" w:sz="4" w:space="0" w:color="auto"/>
              <w:right w:val="nil"/>
            </w:tcBorders>
          </w:tcPr>
          <w:p w14:paraId="15E781AB" w14:textId="73D34B19" w:rsidR="00FC19FE" w:rsidRPr="009E43D8" w:rsidRDefault="00762C4E" w:rsidP="00FC19FE">
            <w:pPr>
              <w:autoSpaceDE/>
              <w:autoSpaceDN/>
              <w:adjustRightInd/>
              <w:jc w:val="right"/>
            </w:pPr>
            <w:r w:rsidRPr="009E43D8">
              <w:t>96</w:t>
            </w:r>
          </w:p>
        </w:tc>
      </w:tr>
      <w:tr w:rsidR="00FC19FE" w:rsidRPr="009E43D8" w14:paraId="6973BE01" w14:textId="77777777" w:rsidTr="00EC4288">
        <w:trPr>
          <w:trHeight w:val="312"/>
        </w:trPr>
        <w:tc>
          <w:tcPr>
            <w:tcW w:w="4587" w:type="dxa"/>
            <w:tcBorders>
              <w:top w:val="nil"/>
              <w:left w:val="nil"/>
              <w:bottom w:val="nil"/>
              <w:right w:val="nil"/>
            </w:tcBorders>
            <w:noWrap/>
            <w:vAlign w:val="bottom"/>
            <w:hideMark/>
          </w:tcPr>
          <w:p w14:paraId="089EEA01" w14:textId="77777777" w:rsidR="00FC19FE" w:rsidRPr="004B1A43" w:rsidRDefault="00FC19FE" w:rsidP="00FC19FE">
            <w:pPr>
              <w:autoSpaceDE/>
              <w:autoSpaceDN/>
              <w:adjustRightInd/>
              <w:ind w:left="288"/>
              <w:jc w:val="both"/>
            </w:pPr>
            <w:r w:rsidRPr="004B1A43">
              <w:t xml:space="preserve">Net </w:t>
            </w:r>
            <w:r>
              <w:t>i</w:t>
            </w:r>
            <w:r w:rsidRPr="004B1A43">
              <w:t>ncome (</w:t>
            </w:r>
            <w:r>
              <w:t>l</w:t>
            </w:r>
            <w:r w:rsidRPr="004B1A43">
              <w:t xml:space="preserve">oss) Before Income Taxes </w:t>
            </w:r>
          </w:p>
        </w:tc>
        <w:tc>
          <w:tcPr>
            <w:tcW w:w="1152" w:type="dxa"/>
            <w:tcBorders>
              <w:top w:val="nil"/>
              <w:left w:val="nil"/>
              <w:bottom w:val="nil"/>
              <w:right w:val="nil"/>
            </w:tcBorders>
            <w:noWrap/>
            <w:vAlign w:val="bottom"/>
          </w:tcPr>
          <w:p w14:paraId="5383D70B" w14:textId="51E8C7D6" w:rsidR="00FC19FE" w:rsidRPr="007A458B" w:rsidRDefault="005B4C57" w:rsidP="00FC19FE">
            <w:pPr>
              <w:autoSpaceDE/>
              <w:autoSpaceDN/>
              <w:adjustRightInd/>
              <w:jc w:val="right"/>
            </w:pPr>
            <w:r w:rsidRPr="007A458B">
              <w:t>(7</w:t>
            </w:r>
            <w:r w:rsidR="007A458B" w:rsidRPr="007A458B">
              <w:t>7</w:t>
            </w:r>
            <w:r w:rsidRPr="007A458B">
              <w:t>)</w:t>
            </w:r>
          </w:p>
        </w:tc>
        <w:tc>
          <w:tcPr>
            <w:tcW w:w="276" w:type="dxa"/>
            <w:tcBorders>
              <w:top w:val="nil"/>
              <w:left w:val="nil"/>
              <w:bottom w:val="nil"/>
              <w:right w:val="nil"/>
            </w:tcBorders>
            <w:noWrap/>
            <w:vAlign w:val="bottom"/>
          </w:tcPr>
          <w:p w14:paraId="03DDA10F" w14:textId="77777777" w:rsidR="00FC19FE" w:rsidRPr="007A458B" w:rsidRDefault="00FC19FE" w:rsidP="00FC19FE">
            <w:pPr>
              <w:autoSpaceDE/>
              <w:autoSpaceDN/>
              <w:adjustRightInd/>
              <w:jc w:val="right"/>
              <w:rPr>
                <w:u w:val="single"/>
              </w:rPr>
            </w:pPr>
          </w:p>
        </w:tc>
        <w:tc>
          <w:tcPr>
            <w:tcW w:w="1095" w:type="dxa"/>
            <w:tcBorders>
              <w:top w:val="nil"/>
              <w:left w:val="nil"/>
              <w:bottom w:val="nil"/>
              <w:right w:val="nil"/>
            </w:tcBorders>
            <w:noWrap/>
            <w:vAlign w:val="bottom"/>
          </w:tcPr>
          <w:p w14:paraId="68786AAE" w14:textId="49783D52" w:rsidR="00FC19FE" w:rsidRPr="007A458B" w:rsidRDefault="005B4C57" w:rsidP="00FC19FE">
            <w:pPr>
              <w:autoSpaceDE/>
              <w:autoSpaceDN/>
              <w:adjustRightInd/>
              <w:jc w:val="right"/>
            </w:pPr>
            <w:r w:rsidRPr="007A458B">
              <w:t>(47)</w:t>
            </w:r>
          </w:p>
        </w:tc>
        <w:tc>
          <w:tcPr>
            <w:tcW w:w="270" w:type="dxa"/>
            <w:tcBorders>
              <w:top w:val="nil"/>
              <w:left w:val="nil"/>
              <w:bottom w:val="nil"/>
              <w:right w:val="nil"/>
            </w:tcBorders>
          </w:tcPr>
          <w:p w14:paraId="6EA171D2" w14:textId="77777777" w:rsidR="00FC19FE" w:rsidRPr="007A458B" w:rsidRDefault="00FC19FE" w:rsidP="00FC19FE">
            <w:pPr>
              <w:autoSpaceDE/>
              <w:autoSpaceDN/>
              <w:adjustRightInd/>
              <w:jc w:val="right"/>
            </w:pPr>
          </w:p>
        </w:tc>
        <w:tc>
          <w:tcPr>
            <w:tcW w:w="1170" w:type="dxa"/>
            <w:tcBorders>
              <w:top w:val="nil"/>
              <w:left w:val="nil"/>
              <w:bottom w:val="nil"/>
              <w:right w:val="nil"/>
            </w:tcBorders>
          </w:tcPr>
          <w:p w14:paraId="4298729C" w14:textId="3072861E" w:rsidR="00FC19FE" w:rsidRPr="007A458B" w:rsidRDefault="00762C4E" w:rsidP="00FC19FE">
            <w:pPr>
              <w:autoSpaceDE/>
              <w:autoSpaceDN/>
              <w:adjustRightInd/>
              <w:jc w:val="right"/>
            </w:pPr>
            <w:r w:rsidRPr="007A458B">
              <w:t>(28</w:t>
            </w:r>
            <w:r w:rsidR="007A458B" w:rsidRPr="007A458B">
              <w:t>2</w:t>
            </w:r>
            <w:r w:rsidRPr="007A458B">
              <w:t>)</w:t>
            </w:r>
          </w:p>
        </w:tc>
        <w:tc>
          <w:tcPr>
            <w:tcW w:w="270" w:type="dxa"/>
            <w:tcBorders>
              <w:top w:val="nil"/>
              <w:left w:val="nil"/>
              <w:bottom w:val="nil"/>
              <w:right w:val="nil"/>
            </w:tcBorders>
          </w:tcPr>
          <w:p w14:paraId="6D71A51C" w14:textId="77777777" w:rsidR="00FC19FE" w:rsidRPr="004B1A43" w:rsidRDefault="00FC19FE" w:rsidP="00FC19FE">
            <w:pPr>
              <w:autoSpaceDE/>
              <w:autoSpaceDN/>
              <w:adjustRightInd/>
              <w:jc w:val="right"/>
            </w:pPr>
          </w:p>
        </w:tc>
        <w:tc>
          <w:tcPr>
            <w:tcW w:w="1080" w:type="dxa"/>
            <w:tcBorders>
              <w:top w:val="nil"/>
              <w:left w:val="nil"/>
              <w:bottom w:val="nil"/>
              <w:right w:val="nil"/>
            </w:tcBorders>
          </w:tcPr>
          <w:p w14:paraId="3BD8063A" w14:textId="56177B27" w:rsidR="00FC19FE" w:rsidRPr="009E43D8" w:rsidRDefault="00762C4E" w:rsidP="00FC19FE">
            <w:pPr>
              <w:autoSpaceDE/>
              <w:autoSpaceDN/>
              <w:adjustRightInd/>
              <w:jc w:val="right"/>
            </w:pPr>
            <w:r w:rsidRPr="009E43D8">
              <w:t>(174)</w:t>
            </w:r>
          </w:p>
        </w:tc>
      </w:tr>
      <w:tr w:rsidR="00FC19FE" w:rsidRPr="009E43D8" w14:paraId="615FC54C" w14:textId="77777777" w:rsidTr="00EC4288">
        <w:trPr>
          <w:trHeight w:val="288"/>
        </w:trPr>
        <w:tc>
          <w:tcPr>
            <w:tcW w:w="4587" w:type="dxa"/>
            <w:tcBorders>
              <w:top w:val="nil"/>
              <w:left w:val="nil"/>
              <w:bottom w:val="nil"/>
              <w:right w:val="nil"/>
            </w:tcBorders>
            <w:noWrap/>
            <w:vAlign w:val="bottom"/>
            <w:hideMark/>
          </w:tcPr>
          <w:p w14:paraId="184D0B86" w14:textId="77777777" w:rsidR="00FC19FE" w:rsidRPr="004B1A43" w:rsidRDefault="00FC19FE" w:rsidP="00FC19FE">
            <w:pPr>
              <w:autoSpaceDE/>
              <w:autoSpaceDN/>
              <w:adjustRightInd/>
              <w:jc w:val="both"/>
            </w:pPr>
            <w:r w:rsidRPr="004B1A43">
              <w:t xml:space="preserve">Income tax </w:t>
            </w:r>
            <w:r>
              <w:t>(provision) benefit</w:t>
            </w:r>
          </w:p>
        </w:tc>
        <w:tc>
          <w:tcPr>
            <w:tcW w:w="1152" w:type="dxa"/>
            <w:tcBorders>
              <w:top w:val="nil"/>
              <w:left w:val="nil"/>
              <w:bottom w:val="single" w:sz="4" w:space="0" w:color="auto"/>
              <w:right w:val="nil"/>
            </w:tcBorders>
            <w:noWrap/>
            <w:vAlign w:val="bottom"/>
          </w:tcPr>
          <w:p w14:paraId="5EBFE161" w14:textId="3D32DD16" w:rsidR="00FC19FE" w:rsidRPr="007A458B" w:rsidRDefault="007A458B" w:rsidP="00FC19FE">
            <w:pPr>
              <w:autoSpaceDE/>
              <w:autoSpaceDN/>
              <w:adjustRightInd/>
              <w:jc w:val="right"/>
            </w:pPr>
            <w:r w:rsidRPr="007A458B">
              <w:t>18</w:t>
            </w:r>
          </w:p>
        </w:tc>
        <w:tc>
          <w:tcPr>
            <w:tcW w:w="276" w:type="dxa"/>
            <w:tcBorders>
              <w:top w:val="nil"/>
              <w:left w:val="nil"/>
              <w:bottom w:val="nil"/>
              <w:right w:val="nil"/>
            </w:tcBorders>
            <w:noWrap/>
            <w:vAlign w:val="bottom"/>
          </w:tcPr>
          <w:p w14:paraId="02362DF1" w14:textId="77777777" w:rsidR="00FC19FE" w:rsidRPr="007A458B" w:rsidRDefault="00FC19FE" w:rsidP="00FC19FE">
            <w:pPr>
              <w:autoSpaceDE/>
              <w:autoSpaceDN/>
              <w:adjustRightInd/>
              <w:jc w:val="right"/>
            </w:pPr>
          </w:p>
        </w:tc>
        <w:tc>
          <w:tcPr>
            <w:tcW w:w="1095" w:type="dxa"/>
            <w:tcBorders>
              <w:top w:val="nil"/>
              <w:left w:val="nil"/>
              <w:bottom w:val="single" w:sz="4" w:space="0" w:color="auto"/>
              <w:right w:val="nil"/>
            </w:tcBorders>
            <w:noWrap/>
            <w:vAlign w:val="bottom"/>
          </w:tcPr>
          <w:p w14:paraId="738D3902" w14:textId="26230B93" w:rsidR="00FC19FE" w:rsidRPr="007A458B" w:rsidRDefault="005B4C57" w:rsidP="00FC19FE">
            <w:pPr>
              <w:autoSpaceDE/>
              <w:autoSpaceDN/>
              <w:adjustRightInd/>
              <w:jc w:val="right"/>
            </w:pPr>
            <w:r w:rsidRPr="007A458B">
              <w:t>11</w:t>
            </w:r>
          </w:p>
        </w:tc>
        <w:tc>
          <w:tcPr>
            <w:tcW w:w="270" w:type="dxa"/>
            <w:tcBorders>
              <w:top w:val="nil"/>
              <w:left w:val="nil"/>
              <w:right w:val="nil"/>
            </w:tcBorders>
          </w:tcPr>
          <w:p w14:paraId="0BD1065B" w14:textId="77777777" w:rsidR="00FC19FE" w:rsidRPr="007A458B" w:rsidRDefault="00FC19FE" w:rsidP="00FC19FE">
            <w:pPr>
              <w:autoSpaceDE/>
              <w:autoSpaceDN/>
              <w:adjustRightInd/>
              <w:jc w:val="right"/>
            </w:pPr>
          </w:p>
        </w:tc>
        <w:tc>
          <w:tcPr>
            <w:tcW w:w="1170" w:type="dxa"/>
            <w:tcBorders>
              <w:top w:val="nil"/>
              <w:left w:val="nil"/>
              <w:bottom w:val="single" w:sz="4" w:space="0" w:color="auto"/>
              <w:right w:val="nil"/>
            </w:tcBorders>
          </w:tcPr>
          <w:p w14:paraId="6CED8894" w14:textId="7A5FA0CA" w:rsidR="00FC19FE" w:rsidRPr="007A458B" w:rsidRDefault="00762C4E" w:rsidP="00FC19FE">
            <w:pPr>
              <w:autoSpaceDE/>
              <w:autoSpaceDN/>
              <w:adjustRightInd/>
              <w:jc w:val="right"/>
            </w:pPr>
            <w:r w:rsidRPr="007A458B">
              <w:t>1</w:t>
            </w:r>
            <w:r w:rsidR="007A458B" w:rsidRPr="007A458B">
              <w:t>86</w:t>
            </w:r>
          </w:p>
        </w:tc>
        <w:tc>
          <w:tcPr>
            <w:tcW w:w="270" w:type="dxa"/>
            <w:tcBorders>
              <w:top w:val="nil"/>
              <w:left w:val="nil"/>
              <w:right w:val="nil"/>
            </w:tcBorders>
          </w:tcPr>
          <w:p w14:paraId="6F9D8675" w14:textId="77777777" w:rsidR="00FC19FE" w:rsidRPr="004B1A43" w:rsidRDefault="00FC19FE" w:rsidP="00FC19FE">
            <w:pPr>
              <w:autoSpaceDE/>
              <w:autoSpaceDN/>
              <w:adjustRightInd/>
              <w:jc w:val="right"/>
            </w:pPr>
          </w:p>
        </w:tc>
        <w:tc>
          <w:tcPr>
            <w:tcW w:w="1080" w:type="dxa"/>
            <w:tcBorders>
              <w:top w:val="nil"/>
              <w:left w:val="nil"/>
              <w:bottom w:val="single" w:sz="4" w:space="0" w:color="auto"/>
              <w:right w:val="nil"/>
            </w:tcBorders>
          </w:tcPr>
          <w:p w14:paraId="093C178A" w14:textId="4676E92A" w:rsidR="00FC19FE" w:rsidRPr="009E43D8" w:rsidRDefault="009E43D8" w:rsidP="00FC19FE">
            <w:pPr>
              <w:autoSpaceDE/>
              <w:autoSpaceDN/>
              <w:adjustRightInd/>
              <w:jc w:val="right"/>
            </w:pPr>
            <w:r w:rsidRPr="009E43D8">
              <w:t>44</w:t>
            </w:r>
          </w:p>
        </w:tc>
      </w:tr>
      <w:tr w:rsidR="00FC19FE" w:rsidRPr="009E43D8" w14:paraId="0B6D1DE4" w14:textId="77777777" w:rsidTr="00FC19FE">
        <w:trPr>
          <w:trHeight w:hRule="exact" w:val="288"/>
        </w:trPr>
        <w:tc>
          <w:tcPr>
            <w:tcW w:w="4587" w:type="dxa"/>
            <w:tcBorders>
              <w:top w:val="nil"/>
              <w:left w:val="nil"/>
              <w:bottom w:val="nil"/>
              <w:right w:val="nil"/>
            </w:tcBorders>
            <w:noWrap/>
            <w:vAlign w:val="bottom"/>
          </w:tcPr>
          <w:p w14:paraId="3220EF58" w14:textId="77777777" w:rsidR="00FC19FE" w:rsidRPr="004B1A43" w:rsidRDefault="00FC19FE" w:rsidP="00FC19FE">
            <w:pPr>
              <w:autoSpaceDE/>
              <w:autoSpaceDN/>
              <w:adjustRightInd/>
              <w:ind w:left="432"/>
              <w:jc w:val="both"/>
            </w:pPr>
            <w:r w:rsidRPr="004B1A43">
              <w:t>Net income</w:t>
            </w:r>
            <w:r>
              <w:t xml:space="preserve"> (loss)</w:t>
            </w:r>
          </w:p>
        </w:tc>
        <w:tc>
          <w:tcPr>
            <w:tcW w:w="1152" w:type="dxa"/>
            <w:tcBorders>
              <w:top w:val="single" w:sz="4" w:space="0" w:color="auto"/>
              <w:left w:val="nil"/>
              <w:bottom w:val="nil"/>
              <w:right w:val="nil"/>
            </w:tcBorders>
            <w:noWrap/>
            <w:vAlign w:val="bottom"/>
          </w:tcPr>
          <w:p w14:paraId="348ACAAD" w14:textId="14928B5E" w:rsidR="00FC19FE" w:rsidRPr="007A458B" w:rsidRDefault="005B4C57" w:rsidP="00FC19FE">
            <w:pPr>
              <w:autoSpaceDE/>
              <w:autoSpaceDN/>
              <w:adjustRightInd/>
              <w:jc w:val="right"/>
            </w:pPr>
            <w:r w:rsidRPr="007A458B">
              <w:t>$(</w:t>
            </w:r>
            <w:r w:rsidR="007A458B" w:rsidRPr="007A458B">
              <w:t>59</w:t>
            </w:r>
            <w:r w:rsidRPr="007A458B">
              <w:t>)</w:t>
            </w:r>
          </w:p>
        </w:tc>
        <w:tc>
          <w:tcPr>
            <w:tcW w:w="276" w:type="dxa"/>
            <w:tcBorders>
              <w:top w:val="single" w:sz="4" w:space="0" w:color="auto"/>
              <w:left w:val="nil"/>
              <w:bottom w:val="nil"/>
              <w:right w:val="nil"/>
            </w:tcBorders>
            <w:noWrap/>
            <w:vAlign w:val="bottom"/>
          </w:tcPr>
          <w:p w14:paraId="4B8E222B" w14:textId="77777777" w:rsidR="00FC19FE" w:rsidRPr="007A458B" w:rsidRDefault="00FC19FE" w:rsidP="00FC19FE">
            <w:pPr>
              <w:autoSpaceDE/>
              <w:autoSpaceDN/>
              <w:adjustRightInd/>
              <w:jc w:val="right"/>
            </w:pPr>
          </w:p>
        </w:tc>
        <w:tc>
          <w:tcPr>
            <w:tcW w:w="1095" w:type="dxa"/>
            <w:tcBorders>
              <w:top w:val="single" w:sz="4" w:space="0" w:color="auto"/>
              <w:left w:val="nil"/>
              <w:bottom w:val="nil"/>
              <w:right w:val="nil"/>
            </w:tcBorders>
            <w:noWrap/>
            <w:vAlign w:val="bottom"/>
          </w:tcPr>
          <w:p w14:paraId="26C1A4DD" w14:textId="4C2E570F" w:rsidR="00FC19FE" w:rsidRPr="007A458B" w:rsidRDefault="005B4C57" w:rsidP="00FC19FE">
            <w:pPr>
              <w:autoSpaceDE/>
              <w:autoSpaceDN/>
              <w:adjustRightInd/>
              <w:jc w:val="right"/>
            </w:pPr>
            <w:r w:rsidRPr="007A458B">
              <w:t>$(36)</w:t>
            </w:r>
          </w:p>
        </w:tc>
        <w:tc>
          <w:tcPr>
            <w:tcW w:w="270" w:type="dxa"/>
            <w:tcBorders>
              <w:left w:val="nil"/>
              <w:bottom w:val="nil"/>
              <w:right w:val="nil"/>
            </w:tcBorders>
          </w:tcPr>
          <w:p w14:paraId="6DDE7292" w14:textId="77777777" w:rsidR="00FC19FE" w:rsidRPr="007A458B" w:rsidRDefault="00FC19FE" w:rsidP="00FC19FE">
            <w:pPr>
              <w:autoSpaceDE/>
              <w:autoSpaceDN/>
              <w:adjustRightInd/>
              <w:jc w:val="right"/>
            </w:pPr>
          </w:p>
        </w:tc>
        <w:tc>
          <w:tcPr>
            <w:tcW w:w="1170" w:type="dxa"/>
            <w:tcBorders>
              <w:top w:val="single" w:sz="4" w:space="0" w:color="auto"/>
              <w:left w:val="nil"/>
              <w:bottom w:val="nil"/>
              <w:right w:val="nil"/>
            </w:tcBorders>
          </w:tcPr>
          <w:p w14:paraId="09DE4567" w14:textId="1F03F5A0" w:rsidR="00FC19FE" w:rsidRPr="007A458B" w:rsidRDefault="00762C4E" w:rsidP="00FC19FE">
            <w:pPr>
              <w:autoSpaceDE/>
              <w:autoSpaceDN/>
              <w:adjustRightInd/>
              <w:jc w:val="right"/>
            </w:pPr>
            <w:r w:rsidRPr="007A458B">
              <w:t>$(</w:t>
            </w:r>
            <w:r w:rsidR="007A458B" w:rsidRPr="007A458B">
              <w:t>96</w:t>
            </w:r>
            <w:r w:rsidRPr="007A458B">
              <w:t>)</w:t>
            </w:r>
          </w:p>
        </w:tc>
        <w:tc>
          <w:tcPr>
            <w:tcW w:w="270" w:type="dxa"/>
            <w:tcBorders>
              <w:left w:val="nil"/>
              <w:bottom w:val="nil"/>
              <w:right w:val="nil"/>
            </w:tcBorders>
          </w:tcPr>
          <w:p w14:paraId="2F19255C" w14:textId="77777777" w:rsidR="00FC19FE" w:rsidRDefault="00FC19FE" w:rsidP="00FC19FE">
            <w:pPr>
              <w:autoSpaceDE/>
              <w:autoSpaceDN/>
              <w:adjustRightInd/>
              <w:jc w:val="right"/>
            </w:pPr>
          </w:p>
        </w:tc>
        <w:tc>
          <w:tcPr>
            <w:tcW w:w="1080" w:type="dxa"/>
            <w:tcBorders>
              <w:top w:val="single" w:sz="4" w:space="0" w:color="auto"/>
              <w:left w:val="nil"/>
              <w:bottom w:val="nil"/>
              <w:right w:val="nil"/>
            </w:tcBorders>
          </w:tcPr>
          <w:p w14:paraId="72BB02F3" w14:textId="14964A3E" w:rsidR="00FC19FE" w:rsidRPr="009E43D8" w:rsidRDefault="00762C4E" w:rsidP="00FC19FE">
            <w:pPr>
              <w:autoSpaceDE/>
              <w:autoSpaceDN/>
              <w:adjustRightInd/>
              <w:jc w:val="right"/>
            </w:pPr>
            <w:r w:rsidRPr="009E43D8">
              <w:t>$(1</w:t>
            </w:r>
            <w:r w:rsidR="009E43D8" w:rsidRPr="009E43D8">
              <w:t>30</w:t>
            </w:r>
            <w:r w:rsidRPr="009E43D8">
              <w:t>)</w:t>
            </w:r>
          </w:p>
        </w:tc>
      </w:tr>
      <w:tr w:rsidR="00FC19FE" w:rsidRPr="009E43D8" w14:paraId="2C2707B1" w14:textId="77777777" w:rsidTr="00FC19FE">
        <w:trPr>
          <w:trHeight w:hRule="exact" w:val="288"/>
        </w:trPr>
        <w:tc>
          <w:tcPr>
            <w:tcW w:w="4587" w:type="dxa"/>
            <w:tcBorders>
              <w:top w:val="nil"/>
              <w:left w:val="nil"/>
              <w:bottom w:val="nil"/>
              <w:right w:val="nil"/>
            </w:tcBorders>
            <w:noWrap/>
            <w:vAlign w:val="bottom"/>
          </w:tcPr>
          <w:p w14:paraId="74205FCF" w14:textId="77777777" w:rsidR="00FC19FE" w:rsidRPr="004B1A43" w:rsidRDefault="00FC19FE" w:rsidP="00FC19FE">
            <w:pPr>
              <w:autoSpaceDE/>
              <w:autoSpaceDN/>
              <w:adjustRightInd/>
              <w:jc w:val="both"/>
            </w:pPr>
          </w:p>
        </w:tc>
        <w:tc>
          <w:tcPr>
            <w:tcW w:w="1152" w:type="dxa"/>
            <w:tcBorders>
              <w:top w:val="double" w:sz="4" w:space="0" w:color="auto"/>
              <w:left w:val="nil"/>
              <w:bottom w:val="nil"/>
              <w:right w:val="nil"/>
            </w:tcBorders>
            <w:noWrap/>
            <w:vAlign w:val="bottom"/>
          </w:tcPr>
          <w:p w14:paraId="190879F1" w14:textId="77777777" w:rsidR="00FC19FE" w:rsidRPr="004B1A43" w:rsidRDefault="00FC19FE" w:rsidP="00FC19FE">
            <w:pPr>
              <w:autoSpaceDE/>
              <w:autoSpaceDN/>
              <w:adjustRightInd/>
              <w:jc w:val="right"/>
            </w:pPr>
          </w:p>
        </w:tc>
        <w:tc>
          <w:tcPr>
            <w:tcW w:w="276" w:type="dxa"/>
            <w:tcBorders>
              <w:top w:val="nil"/>
              <w:left w:val="nil"/>
              <w:bottom w:val="nil"/>
              <w:right w:val="nil"/>
            </w:tcBorders>
            <w:noWrap/>
            <w:vAlign w:val="bottom"/>
          </w:tcPr>
          <w:p w14:paraId="753AE232" w14:textId="77777777" w:rsidR="00FC19FE" w:rsidRPr="004B1A43" w:rsidRDefault="00FC19FE" w:rsidP="00FC19FE">
            <w:pPr>
              <w:autoSpaceDE/>
              <w:autoSpaceDN/>
              <w:adjustRightInd/>
              <w:jc w:val="right"/>
            </w:pPr>
          </w:p>
        </w:tc>
        <w:tc>
          <w:tcPr>
            <w:tcW w:w="1095" w:type="dxa"/>
            <w:tcBorders>
              <w:top w:val="double" w:sz="4" w:space="0" w:color="auto"/>
              <w:left w:val="nil"/>
              <w:bottom w:val="nil"/>
              <w:right w:val="nil"/>
            </w:tcBorders>
            <w:noWrap/>
            <w:vAlign w:val="bottom"/>
          </w:tcPr>
          <w:p w14:paraId="6F049B96" w14:textId="77777777" w:rsidR="00FC19FE" w:rsidRPr="009E43D8" w:rsidRDefault="00FC19FE" w:rsidP="00FC19FE">
            <w:pPr>
              <w:autoSpaceDE/>
              <w:autoSpaceDN/>
              <w:adjustRightInd/>
              <w:jc w:val="right"/>
            </w:pPr>
          </w:p>
        </w:tc>
        <w:tc>
          <w:tcPr>
            <w:tcW w:w="270" w:type="dxa"/>
            <w:tcBorders>
              <w:left w:val="nil"/>
              <w:bottom w:val="nil"/>
              <w:right w:val="nil"/>
            </w:tcBorders>
          </w:tcPr>
          <w:p w14:paraId="1ED1BA69" w14:textId="77777777" w:rsidR="00FC19FE" w:rsidRPr="004B1A43" w:rsidRDefault="00FC19FE" w:rsidP="00FC19FE">
            <w:pPr>
              <w:autoSpaceDE/>
              <w:autoSpaceDN/>
              <w:adjustRightInd/>
              <w:jc w:val="right"/>
            </w:pPr>
          </w:p>
        </w:tc>
        <w:tc>
          <w:tcPr>
            <w:tcW w:w="1170" w:type="dxa"/>
            <w:tcBorders>
              <w:top w:val="double" w:sz="4" w:space="0" w:color="auto"/>
              <w:left w:val="nil"/>
              <w:bottom w:val="nil"/>
              <w:right w:val="nil"/>
            </w:tcBorders>
          </w:tcPr>
          <w:p w14:paraId="6EE91DCA" w14:textId="77777777" w:rsidR="00FC19FE" w:rsidRPr="004B1A43" w:rsidRDefault="00FC19FE" w:rsidP="00FC19FE">
            <w:pPr>
              <w:autoSpaceDE/>
              <w:autoSpaceDN/>
              <w:adjustRightInd/>
              <w:jc w:val="right"/>
            </w:pPr>
          </w:p>
        </w:tc>
        <w:tc>
          <w:tcPr>
            <w:tcW w:w="270" w:type="dxa"/>
            <w:tcBorders>
              <w:left w:val="nil"/>
              <w:bottom w:val="nil"/>
              <w:right w:val="nil"/>
            </w:tcBorders>
          </w:tcPr>
          <w:p w14:paraId="0028D1D0" w14:textId="77777777" w:rsidR="00FC19FE" w:rsidRPr="004B1A43" w:rsidRDefault="00FC19FE" w:rsidP="00FC19FE">
            <w:pPr>
              <w:autoSpaceDE/>
              <w:autoSpaceDN/>
              <w:adjustRightInd/>
              <w:jc w:val="right"/>
            </w:pPr>
          </w:p>
        </w:tc>
        <w:tc>
          <w:tcPr>
            <w:tcW w:w="1080" w:type="dxa"/>
            <w:tcBorders>
              <w:top w:val="double" w:sz="4" w:space="0" w:color="auto"/>
              <w:left w:val="nil"/>
              <w:bottom w:val="nil"/>
              <w:right w:val="nil"/>
            </w:tcBorders>
          </w:tcPr>
          <w:p w14:paraId="3905BCC1" w14:textId="77777777" w:rsidR="00FC19FE" w:rsidRPr="009E43D8" w:rsidRDefault="00FC19FE" w:rsidP="00FC19FE">
            <w:pPr>
              <w:autoSpaceDE/>
              <w:autoSpaceDN/>
              <w:adjustRightInd/>
              <w:jc w:val="right"/>
            </w:pPr>
          </w:p>
        </w:tc>
      </w:tr>
      <w:tr w:rsidR="00762C4E" w:rsidRPr="009E43D8" w14:paraId="0E074BAA" w14:textId="77777777" w:rsidTr="007B3D6F">
        <w:trPr>
          <w:trHeight w:hRule="exact" w:val="288"/>
        </w:trPr>
        <w:tc>
          <w:tcPr>
            <w:tcW w:w="4587" w:type="dxa"/>
            <w:tcBorders>
              <w:top w:val="nil"/>
              <w:left w:val="nil"/>
              <w:bottom w:val="nil"/>
              <w:right w:val="nil"/>
            </w:tcBorders>
            <w:noWrap/>
            <w:vAlign w:val="bottom"/>
            <w:hideMark/>
          </w:tcPr>
          <w:p w14:paraId="705ECF6A" w14:textId="77777777" w:rsidR="00762C4E" w:rsidRPr="004B1A43" w:rsidRDefault="00762C4E" w:rsidP="00762C4E">
            <w:pPr>
              <w:autoSpaceDE/>
              <w:autoSpaceDN/>
              <w:adjustRightInd/>
              <w:jc w:val="both"/>
              <w:rPr>
                <w:u w:val="double"/>
              </w:rPr>
            </w:pPr>
            <w:r w:rsidRPr="004B1A43">
              <w:t>Basic and diluted weighted average shares outstanding</w:t>
            </w:r>
          </w:p>
        </w:tc>
        <w:tc>
          <w:tcPr>
            <w:tcW w:w="1152" w:type="dxa"/>
            <w:tcBorders>
              <w:top w:val="nil"/>
              <w:left w:val="nil"/>
              <w:bottom w:val="nil"/>
              <w:right w:val="nil"/>
            </w:tcBorders>
            <w:noWrap/>
            <w:vAlign w:val="bottom"/>
          </w:tcPr>
          <w:p w14:paraId="0048059B" w14:textId="19250BA5" w:rsidR="00762C4E" w:rsidRPr="0080374B" w:rsidRDefault="00762C4E" w:rsidP="00762C4E">
            <w:pPr>
              <w:autoSpaceDE/>
              <w:autoSpaceDN/>
              <w:adjustRightInd/>
              <w:jc w:val="right"/>
            </w:pPr>
            <w:r>
              <w:t>15,</w:t>
            </w:r>
            <w:r w:rsidR="002E16A4">
              <w:t>265</w:t>
            </w:r>
          </w:p>
        </w:tc>
        <w:tc>
          <w:tcPr>
            <w:tcW w:w="276" w:type="dxa"/>
            <w:tcBorders>
              <w:top w:val="nil"/>
              <w:left w:val="nil"/>
              <w:bottom w:val="nil"/>
              <w:right w:val="nil"/>
            </w:tcBorders>
            <w:noWrap/>
            <w:vAlign w:val="bottom"/>
          </w:tcPr>
          <w:p w14:paraId="660BB498" w14:textId="77777777" w:rsidR="00762C4E" w:rsidRPr="004B1A43" w:rsidRDefault="00762C4E" w:rsidP="00762C4E">
            <w:pPr>
              <w:autoSpaceDE/>
              <w:autoSpaceDN/>
              <w:adjustRightInd/>
              <w:jc w:val="right"/>
            </w:pPr>
          </w:p>
        </w:tc>
        <w:tc>
          <w:tcPr>
            <w:tcW w:w="1095" w:type="dxa"/>
            <w:tcBorders>
              <w:top w:val="nil"/>
              <w:left w:val="nil"/>
              <w:bottom w:val="nil"/>
              <w:right w:val="nil"/>
            </w:tcBorders>
            <w:noWrap/>
            <w:vAlign w:val="bottom"/>
          </w:tcPr>
          <w:p w14:paraId="6A1C0847" w14:textId="42A0171E" w:rsidR="00762C4E" w:rsidRPr="009E43D8" w:rsidRDefault="00762C4E" w:rsidP="00762C4E">
            <w:pPr>
              <w:autoSpaceDE/>
              <w:autoSpaceDN/>
              <w:adjustRightInd/>
              <w:jc w:val="right"/>
            </w:pPr>
            <w:r w:rsidRPr="009E43D8">
              <w:t>16,</w:t>
            </w:r>
            <w:r w:rsidR="009E43D8" w:rsidRPr="009E43D8">
              <w:t>695</w:t>
            </w:r>
          </w:p>
        </w:tc>
        <w:tc>
          <w:tcPr>
            <w:tcW w:w="270" w:type="dxa"/>
            <w:tcBorders>
              <w:top w:val="nil"/>
              <w:left w:val="nil"/>
              <w:bottom w:val="nil"/>
              <w:right w:val="nil"/>
            </w:tcBorders>
          </w:tcPr>
          <w:p w14:paraId="50768AF2" w14:textId="77777777" w:rsidR="00762C4E" w:rsidRPr="004B1A43" w:rsidRDefault="00762C4E" w:rsidP="00762C4E">
            <w:pPr>
              <w:autoSpaceDE/>
              <w:autoSpaceDN/>
              <w:adjustRightInd/>
              <w:jc w:val="right"/>
            </w:pPr>
          </w:p>
        </w:tc>
        <w:tc>
          <w:tcPr>
            <w:tcW w:w="1170" w:type="dxa"/>
            <w:tcBorders>
              <w:top w:val="nil"/>
              <w:left w:val="nil"/>
              <w:bottom w:val="nil"/>
              <w:right w:val="nil"/>
            </w:tcBorders>
            <w:vAlign w:val="bottom"/>
          </w:tcPr>
          <w:p w14:paraId="6EBD491E" w14:textId="1982BD80" w:rsidR="00762C4E" w:rsidRPr="004B1A43" w:rsidRDefault="00762C4E" w:rsidP="00762C4E">
            <w:pPr>
              <w:autoSpaceDE/>
              <w:autoSpaceDN/>
              <w:adjustRightInd/>
              <w:jc w:val="right"/>
            </w:pPr>
            <w:r>
              <w:t>15,</w:t>
            </w:r>
            <w:r w:rsidR="002E16A4">
              <w:t>656</w:t>
            </w:r>
          </w:p>
        </w:tc>
        <w:tc>
          <w:tcPr>
            <w:tcW w:w="270" w:type="dxa"/>
            <w:tcBorders>
              <w:top w:val="nil"/>
              <w:left w:val="nil"/>
              <w:bottom w:val="nil"/>
              <w:right w:val="nil"/>
            </w:tcBorders>
            <w:vAlign w:val="bottom"/>
          </w:tcPr>
          <w:p w14:paraId="6EAAF09E" w14:textId="77777777" w:rsidR="00762C4E" w:rsidRPr="004B1A43" w:rsidRDefault="00762C4E" w:rsidP="00762C4E">
            <w:pPr>
              <w:autoSpaceDE/>
              <w:autoSpaceDN/>
              <w:adjustRightInd/>
              <w:jc w:val="right"/>
            </w:pPr>
          </w:p>
        </w:tc>
        <w:tc>
          <w:tcPr>
            <w:tcW w:w="1080" w:type="dxa"/>
            <w:tcBorders>
              <w:top w:val="nil"/>
              <w:left w:val="nil"/>
              <w:bottom w:val="nil"/>
              <w:right w:val="nil"/>
            </w:tcBorders>
            <w:vAlign w:val="bottom"/>
          </w:tcPr>
          <w:p w14:paraId="2EDDCCD1" w14:textId="0FD46499" w:rsidR="00762C4E" w:rsidRPr="009E43D8" w:rsidRDefault="00762C4E" w:rsidP="00762C4E">
            <w:pPr>
              <w:autoSpaceDE/>
              <w:autoSpaceDN/>
              <w:adjustRightInd/>
              <w:jc w:val="right"/>
            </w:pPr>
            <w:r w:rsidRPr="009E43D8">
              <w:t>16,</w:t>
            </w:r>
            <w:r w:rsidR="009E43D8" w:rsidRPr="009E43D8">
              <w:t>827</w:t>
            </w:r>
          </w:p>
        </w:tc>
      </w:tr>
      <w:tr w:rsidR="00762C4E" w:rsidRPr="009E43D8" w14:paraId="1DA391DD" w14:textId="77777777" w:rsidTr="007B3D6F">
        <w:trPr>
          <w:trHeight w:val="288"/>
        </w:trPr>
        <w:tc>
          <w:tcPr>
            <w:tcW w:w="4587" w:type="dxa"/>
            <w:tcBorders>
              <w:top w:val="nil"/>
              <w:left w:val="nil"/>
              <w:bottom w:val="nil"/>
              <w:right w:val="nil"/>
            </w:tcBorders>
            <w:noWrap/>
            <w:vAlign w:val="bottom"/>
            <w:hideMark/>
          </w:tcPr>
          <w:p w14:paraId="48EE7526" w14:textId="77777777" w:rsidR="00762C4E" w:rsidRPr="004B1A43" w:rsidRDefault="00762C4E" w:rsidP="00762C4E">
            <w:pPr>
              <w:autoSpaceDE/>
              <w:autoSpaceDN/>
              <w:adjustRightInd/>
              <w:jc w:val="both"/>
            </w:pPr>
            <w:r>
              <w:t>Actual Shares Outstanding</w:t>
            </w:r>
          </w:p>
        </w:tc>
        <w:tc>
          <w:tcPr>
            <w:tcW w:w="1152" w:type="dxa"/>
            <w:tcBorders>
              <w:top w:val="nil"/>
              <w:left w:val="nil"/>
              <w:bottom w:val="nil"/>
              <w:right w:val="nil"/>
            </w:tcBorders>
            <w:noWrap/>
            <w:vAlign w:val="bottom"/>
          </w:tcPr>
          <w:p w14:paraId="7F111C13" w14:textId="44E9455E" w:rsidR="00762C4E" w:rsidRPr="004B1A43" w:rsidRDefault="00762C4E" w:rsidP="00762C4E">
            <w:pPr>
              <w:autoSpaceDE/>
              <w:autoSpaceDN/>
              <w:adjustRightInd/>
              <w:jc w:val="right"/>
            </w:pPr>
            <w:r>
              <w:t>15,</w:t>
            </w:r>
            <w:r w:rsidR="007F7FF2">
              <w:t>169</w:t>
            </w:r>
          </w:p>
        </w:tc>
        <w:tc>
          <w:tcPr>
            <w:tcW w:w="276" w:type="dxa"/>
            <w:tcBorders>
              <w:top w:val="nil"/>
              <w:left w:val="nil"/>
              <w:bottom w:val="nil"/>
              <w:right w:val="nil"/>
            </w:tcBorders>
            <w:noWrap/>
            <w:vAlign w:val="bottom"/>
          </w:tcPr>
          <w:p w14:paraId="4E6F0CF9" w14:textId="77777777" w:rsidR="00762C4E" w:rsidRPr="004B1A43" w:rsidRDefault="00762C4E" w:rsidP="00762C4E">
            <w:pPr>
              <w:autoSpaceDE/>
              <w:autoSpaceDN/>
              <w:adjustRightInd/>
              <w:jc w:val="right"/>
            </w:pPr>
          </w:p>
        </w:tc>
        <w:tc>
          <w:tcPr>
            <w:tcW w:w="1095" w:type="dxa"/>
            <w:tcBorders>
              <w:top w:val="nil"/>
              <w:left w:val="nil"/>
              <w:bottom w:val="nil"/>
              <w:right w:val="nil"/>
            </w:tcBorders>
            <w:noWrap/>
            <w:vAlign w:val="bottom"/>
          </w:tcPr>
          <w:p w14:paraId="155180E7" w14:textId="220257A8" w:rsidR="00762C4E" w:rsidRPr="009E43D8" w:rsidRDefault="00762C4E" w:rsidP="00762C4E">
            <w:pPr>
              <w:autoSpaceDE/>
              <w:autoSpaceDN/>
              <w:adjustRightInd/>
              <w:jc w:val="right"/>
            </w:pPr>
            <w:r w:rsidRPr="009E43D8">
              <w:t>16,</w:t>
            </w:r>
            <w:r w:rsidR="009E43D8" w:rsidRPr="009E43D8">
              <w:t>623</w:t>
            </w:r>
          </w:p>
        </w:tc>
        <w:tc>
          <w:tcPr>
            <w:tcW w:w="270" w:type="dxa"/>
            <w:tcBorders>
              <w:top w:val="nil"/>
              <w:left w:val="nil"/>
              <w:bottom w:val="nil"/>
              <w:right w:val="nil"/>
            </w:tcBorders>
          </w:tcPr>
          <w:p w14:paraId="72CAEC97" w14:textId="77777777" w:rsidR="00762C4E" w:rsidRPr="004B1A43" w:rsidRDefault="00762C4E" w:rsidP="00762C4E">
            <w:pPr>
              <w:autoSpaceDE/>
              <w:autoSpaceDN/>
              <w:adjustRightInd/>
              <w:jc w:val="right"/>
            </w:pPr>
          </w:p>
        </w:tc>
        <w:tc>
          <w:tcPr>
            <w:tcW w:w="1170" w:type="dxa"/>
            <w:tcBorders>
              <w:top w:val="nil"/>
              <w:left w:val="nil"/>
              <w:bottom w:val="nil"/>
              <w:right w:val="nil"/>
            </w:tcBorders>
            <w:vAlign w:val="bottom"/>
          </w:tcPr>
          <w:p w14:paraId="6DE3526A" w14:textId="043CEC8C" w:rsidR="00762C4E" w:rsidRPr="004B1A43" w:rsidRDefault="00762C4E" w:rsidP="00762C4E">
            <w:pPr>
              <w:autoSpaceDE/>
              <w:autoSpaceDN/>
              <w:adjustRightInd/>
              <w:jc w:val="right"/>
            </w:pPr>
            <w:r>
              <w:t>15,</w:t>
            </w:r>
            <w:r w:rsidR="007F7FF2">
              <w:t>169</w:t>
            </w:r>
          </w:p>
        </w:tc>
        <w:tc>
          <w:tcPr>
            <w:tcW w:w="270" w:type="dxa"/>
            <w:tcBorders>
              <w:top w:val="nil"/>
              <w:left w:val="nil"/>
              <w:bottom w:val="nil"/>
              <w:right w:val="nil"/>
            </w:tcBorders>
            <w:vAlign w:val="bottom"/>
          </w:tcPr>
          <w:p w14:paraId="44DDAC8F" w14:textId="77777777" w:rsidR="00762C4E" w:rsidRPr="004B1A43" w:rsidRDefault="00762C4E" w:rsidP="00762C4E">
            <w:pPr>
              <w:autoSpaceDE/>
              <w:autoSpaceDN/>
              <w:adjustRightInd/>
              <w:jc w:val="right"/>
            </w:pPr>
          </w:p>
        </w:tc>
        <w:tc>
          <w:tcPr>
            <w:tcW w:w="1080" w:type="dxa"/>
            <w:tcBorders>
              <w:top w:val="nil"/>
              <w:left w:val="nil"/>
              <w:bottom w:val="nil"/>
              <w:right w:val="nil"/>
            </w:tcBorders>
            <w:vAlign w:val="bottom"/>
          </w:tcPr>
          <w:p w14:paraId="0731D420" w14:textId="651FB9B9" w:rsidR="00762C4E" w:rsidRPr="009E43D8" w:rsidRDefault="00762C4E" w:rsidP="00762C4E">
            <w:pPr>
              <w:autoSpaceDE/>
              <w:autoSpaceDN/>
              <w:adjustRightInd/>
              <w:jc w:val="right"/>
            </w:pPr>
            <w:r w:rsidRPr="009E43D8">
              <w:t>16,</w:t>
            </w:r>
            <w:r w:rsidR="009E43D8" w:rsidRPr="009E43D8">
              <w:t>623</w:t>
            </w:r>
          </w:p>
        </w:tc>
      </w:tr>
      <w:tr w:rsidR="00762C4E" w:rsidRPr="009E43D8" w14:paraId="115390BA" w14:textId="77777777" w:rsidTr="00FC19FE">
        <w:trPr>
          <w:trHeight w:val="288"/>
        </w:trPr>
        <w:tc>
          <w:tcPr>
            <w:tcW w:w="4587" w:type="dxa"/>
            <w:tcBorders>
              <w:top w:val="nil"/>
              <w:left w:val="nil"/>
              <w:bottom w:val="nil"/>
              <w:right w:val="nil"/>
            </w:tcBorders>
            <w:noWrap/>
            <w:vAlign w:val="bottom"/>
          </w:tcPr>
          <w:p w14:paraId="271F94A4" w14:textId="77777777" w:rsidR="00762C4E" w:rsidRPr="004B1A43" w:rsidRDefault="00762C4E" w:rsidP="00762C4E">
            <w:pPr>
              <w:autoSpaceDE/>
              <w:autoSpaceDN/>
              <w:adjustRightInd/>
              <w:jc w:val="both"/>
            </w:pPr>
          </w:p>
        </w:tc>
        <w:tc>
          <w:tcPr>
            <w:tcW w:w="1152" w:type="dxa"/>
            <w:tcBorders>
              <w:top w:val="nil"/>
              <w:left w:val="nil"/>
              <w:bottom w:val="nil"/>
              <w:right w:val="nil"/>
            </w:tcBorders>
            <w:noWrap/>
            <w:vAlign w:val="bottom"/>
          </w:tcPr>
          <w:p w14:paraId="01962AC1" w14:textId="77777777" w:rsidR="00762C4E" w:rsidRPr="004B1A43" w:rsidRDefault="00762C4E" w:rsidP="00762C4E">
            <w:pPr>
              <w:autoSpaceDE/>
              <w:autoSpaceDN/>
              <w:adjustRightInd/>
              <w:jc w:val="right"/>
            </w:pPr>
          </w:p>
        </w:tc>
        <w:tc>
          <w:tcPr>
            <w:tcW w:w="276" w:type="dxa"/>
            <w:tcBorders>
              <w:top w:val="nil"/>
              <w:left w:val="nil"/>
              <w:bottom w:val="nil"/>
              <w:right w:val="nil"/>
            </w:tcBorders>
            <w:noWrap/>
            <w:vAlign w:val="bottom"/>
          </w:tcPr>
          <w:p w14:paraId="78F2D30D" w14:textId="77777777" w:rsidR="00762C4E" w:rsidRPr="004B1A43" w:rsidRDefault="00762C4E" w:rsidP="00762C4E">
            <w:pPr>
              <w:autoSpaceDE/>
              <w:autoSpaceDN/>
              <w:adjustRightInd/>
              <w:jc w:val="right"/>
            </w:pPr>
          </w:p>
        </w:tc>
        <w:tc>
          <w:tcPr>
            <w:tcW w:w="1095" w:type="dxa"/>
            <w:tcBorders>
              <w:top w:val="nil"/>
              <w:left w:val="nil"/>
              <w:bottom w:val="nil"/>
              <w:right w:val="nil"/>
            </w:tcBorders>
            <w:noWrap/>
            <w:vAlign w:val="bottom"/>
          </w:tcPr>
          <w:p w14:paraId="1697889F" w14:textId="77777777" w:rsidR="00762C4E" w:rsidRPr="009E43D8" w:rsidRDefault="00762C4E" w:rsidP="00762C4E">
            <w:pPr>
              <w:autoSpaceDE/>
              <w:autoSpaceDN/>
              <w:adjustRightInd/>
              <w:jc w:val="right"/>
            </w:pPr>
          </w:p>
        </w:tc>
        <w:tc>
          <w:tcPr>
            <w:tcW w:w="270" w:type="dxa"/>
            <w:tcBorders>
              <w:top w:val="nil"/>
              <w:left w:val="nil"/>
              <w:bottom w:val="nil"/>
              <w:right w:val="nil"/>
            </w:tcBorders>
          </w:tcPr>
          <w:p w14:paraId="4E60F42F" w14:textId="77777777" w:rsidR="00762C4E" w:rsidRPr="004B1A43" w:rsidRDefault="00762C4E" w:rsidP="00762C4E">
            <w:pPr>
              <w:autoSpaceDE/>
              <w:autoSpaceDN/>
              <w:adjustRightInd/>
              <w:jc w:val="right"/>
            </w:pPr>
          </w:p>
        </w:tc>
        <w:tc>
          <w:tcPr>
            <w:tcW w:w="1170" w:type="dxa"/>
            <w:tcBorders>
              <w:top w:val="nil"/>
              <w:left w:val="nil"/>
              <w:bottom w:val="nil"/>
              <w:right w:val="nil"/>
            </w:tcBorders>
          </w:tcPr>
          <w:p w14:paraId="7884804B" w14:textId="77777777" w:rsidR="00762C4E" w:rsidRPr="004B1A43" w:rsidRDefault="00762C4E" w:rsidP="00762C4E">
            <w:pPr>
              <w:autoSpaceDE/>
              <w:autoSpaceDN/>
              <w:adjustRightInd/>
              <w:jc w:val="right"/>
            </w:pPr>
          </w:p>
        </w:tc>
        <w:tc>
          <w:tcPr>
            <w:tcW w:w="270" w:type="dxa"/>
            <w:tcBorders>
              <w:top w:val="nil"/>
              <w:left w:val="nil"/>
              <w:bottom w:val="nil"/>
              <w:right w:val="nil"/>
            </w:tcBorders>
          </w:tcPr>
          <w:p w14:paraId="0E3AB98E" w14:textId="77777777" w:rsidR="00762C4E" w:rsidRPr="004B1A43" w:rsidRDefault="00762C4E" w:rsidP="00762C4E">
            <w:pPr>
              <w:autoSpaceDE/>
              <w:autoSpaceDN/>
              <w:adjustRightInd/>
              <w:jc w:val="right"/>
            </w:pPr>
          </w:p>
        </w:tc>
        <w:tc>
          <w:tcPr>
            <w:tcW w:w="1080" w:type="dxa"/>
            <w:tcBorders>
              <w:top w:val="nil"/>
              <w:left w:val="nil"/>
              <w:bottom w:val="nil"/>
              <w:right w:val="nil"/>
            </w:tcBorders>
          </w:tcPr>
          <w:p w14:paraId="7DED3D3F" w14:textId="77777777" w:rsidR="00762C4E" w:rsidRPr="009E43D8" w:rsidRDefault="00762C4E" w:rsidP="00762C4E">
            <w:pPr>
              <w:autoSpaceDE/>
              <w:autoSpaceDN/>
              <w:adjustRightInd/>
              <w:jc w:val="right"/>
            </w:pPr>
          </w:p>
        </w:tc>
      </w:tr>
      <w:tr w:rsidR="00762C4E" w:rsidRPr="009E43D8" w14:paraId="657E7674" w14:textId="77777777" w:rsidTr="00FC19FE">
        <w:trPr>
          <w:trHeight w:hRule="exact" w:val="288"/>
        </w:trPr>
        <w:tc>
          <w:tcPr>
            <w:tcW w:w="4587" w:type="dxa"/>
            <w:tcBorders>
              <w:top w:val="nil"/>
              <w:left w:val="nil"/>
              <w:bottom w:val="nil"/>
              <w:right w:val="nil"/>
            </w:tcBorders>
            <w:noWrap/>
            <w:vAlign w:val="bottom"/>
            <w:hideMark/>
          </w:tcPr>
          <w:p w14:paraId="4DE3E658" w14:textId="77777777" w:rsidR="00762C4E" w:rsidRPr="004B1A43" w:rsidRDefault="00762C4E" w:rsidP="00762C4E">
            <w:pPr>
              <w:autoSpaceDE/>
              <w:autoSpaceDN/>
              <w:adjustRightInd/>
              <w:jc w:val="both"/>
              <w:rPr>
                <w:b/>
              </w:rPr>
            </w:pPr>
            <w:r w:rsidRPr="004B1A43">
              <w:rPr>
                <w:b/>
              </w:rPr>
              <w:t>Earnings Per Share</w:t>
            </w:r>
          </w:p>
          <w:p w14:paraId="3B088F57" w14:textId="77777777" w:rsidR="00762C4E" w:rsidRPr="004B1A43" w:rsidRDefault="00762C4E" w:rsidP="00762C4E">
            <w:pPr>
              <w:autoSpaceDE/>
              <w:autoSpaceDN/>
              <w:adjustRightInd/>
              <w:jc w:val="both"/>
              <w:rPr>
                <w:b/>
              </w:rPr>
            </w:pPr>
            <w:r w:rsidRPr="004B1A43">
              <w:rPr>
                <w:b/>
              </w:rPr>
              <w:t>Net income from continuing operations per share</w:t>
            </w:r>
          </w:p>
        </w:tc>
        <w:tc>
          <w:tcPr>
            <w:tcW w:w="1152" w:type="dxa"/>
            <w:tcBorders>
              <w:top w:val="nil"/>
              <w:left w:val="nil"/>
              <w:bottom w:val="nil"/>
              <w:right w:val="nil"/>
            </w:tcBorders>
            <w:noWrap/>
            <w:vAlign w:val="bottom"/>
          </w:tcPr>
          <w:p w14:paraId="526FE07C" w14:textId="77777777" w:rsidR="00762C4E" w:rsidRPr="004B1A43" w:rsidRDefault="00762C4E" w:rsidP="00762C4E">
            <w:pPr>
              <w:autoSpaceDE/>
              <w:autoSpaceDN/>
              <w:adjustRightInd/>
              <w:jc w:val="right"/>
            </w:pPr>
          </w:p>
        </w:tc>
        <w:tc>
          <w:tcPr>
            <w:tcW w:w="276" w:type="dxa"/>
            <w:tcBorders>
              <w:top w:val="nil"/>
              <w:left w:val="nil"/>
              <w:bottom w:val="nil"/>
              <w:right w:val="nil"/>
            </w:tcBorders>
            <w:noWrap/>
            <w:vAlign w:val="bottom"/>
          </w:tcPr>
          <w:p w14:paraId="2903D3C2" w14:textId="77777777" w:rsidR="00762C4E" w:rsidRPr="004B1A43" w:rsidRDefault="00762C4E" w:rsidP="00762C4E">
            <w:pPr>
              <w:autoSpaceDE/>
              <w:autoSpaceDN/>
              <w:adjustRightInd/>
              <w:jc w:val="right"/>
            </w:pPr>
          </w:p>
        </w:tc>
        <w:tc>
          <w:tcPr>
            <w:tcW w:w="1095" w:type="dxa"/>
            <w:tcBorders>
              <w:top w:val="nil"/>
              <w:left w:val="nil"/>
              <w:bottom w:val="nil"/>
              <w:right w:val="nil"/>
            </w:tcBorders>
            <w:noWrap/>
            <w:vAlign w:val="bottom"/>
          </w:tcPr>
          <w:p w14:paraId="12DF83BC" w14:textId="77777777" w:rsidR="00762C4E" w:rsidRPr="009E43D8" w:rsidRDefault="00762C4E" w:rsidP="00762C4E">
            <w:pPr>
              <w:autoSpaceDE/>
              <w:autoSpaceDN/>
              <w:adjustRightInd/>
              <w:jc w:val="right"/>
            </w:pPr>
          </w:p>
        </w:tc>
        <w:tc>
          <w:tcPr>
            <w:tcW w:w="270" w:type="dxa"/>
            <w:tcBorders>
              <w:top w:val="nil"/>
              <w:left w:val="nil"/>
              <w:bottom w:val="nil"/>
              <w:right w:val="nil"/>
            </w:tcBorders>
          </w:tcPr>
          <w:p w14:paraId="23CD7700" w14:textId="77777777" w:rsidR="00762C4E" w:rsidRPr="004B1A43" w:rsidRDefault="00762C4E" w:rsidP="00762C4E">
            <w:pPr>
              <w:autoSpaceDE/>
              <w:autoSpaceDN/>
              <w:adjustRightInd/>
              <w:jc w:val="right"/>
            </w:pPr>
          </w:p>
        </w:tc>
        <w:tc>
          <w:tcPr>
            <w:tcW w:w="1170" w:type="dxa"/>
            <w:tcBorders>
              <w:top w:val="nil"/>
              <w:left w:val="nil"/>
              <w:bottom w:val="nil"/>
              <w:right w:val="nil"/>
            </w:tcBorders>
          </w:tcPr>
          <w:p w14:paraId="1C5AFB37" w14:textId="77777777" w:rsidR="00762C4E" w:rsidRPr="004B1A43" w:rsidRDefault="00762C4E" w:rsidP="00762C4E">
            <w:pPr>
              <w:autoSpaceDE/>
              <w:autoSpaceDN/>
              <w:adjustRightInd/>
              <w:jc w:val="right"/>
            </w:pPr>
          </w:p>
        </w:tc>
        <w:tc>
          <w:tcPr>
            <w:tcW w:w="270" w:type="dxa"/>
            <w:tcBorders>
              <w:top w:val="nil"/>
              <w:left w:val="nil"/>
              <w:bottom w:val="nil"/>
              <w:right w:val="nil"/>
            </w:tcBorders>
          </w:tcPr>
          <w:p w14:paraId="69643A01" w14:textId="77777777" w:rsidR="00762C4E" w:rsidRPr="004B1A43" w:rsidRDefault="00762C4E" w:rsidP="00762C4E">
            <w:pPr>
              <w:autoSpaceDE/>
              <w:autoSpaceDN/>
              <w:adjustRightInd/>
              <w:jc w:val="right"/>
            </w:pPr>
          </w:p>
        </w:tc>
        <w:tc>
          <w:tcPr>
            <w:tcW w:w="1080" w:type="dxa"/>
            <w:tcBorders>
              <w:top w:val="nil"/>
              <w:left w:val="nil"/>
              <w:bottom w:val="nil"/>
              <w:right w:val="nil"/>
            </w:tcBorders>
          </w:tcPr>
          <w:p w14:paraId="45122E13" w14:textId="77777777" w:rsidR="00762C4E" w:rsidRPr="009E43D8" w:rsidRDefault="00762C4E" w:rsidP="00762C4E">
            <w:pPr>
              <w:autoSpaceDE/>
              <w:autoSpaceDN/>
              <w:adjustRightInd/>
              <w:jc w:val="right"/>
            </w:pPr>
          </w:p>
        </w:tc>
      </w:tr>
      <w:tr w:rsidR="00762C4E" w:rsidRPr="009E43D8" w14:paraId="49D17473" w14:textId="77777777" w:rsidTr="00EC4288">
        <w:trPr>
          <w:trHeight w:val="288"/>
        </w:trPr>
        <w:tc>
          <w:tcPr>
            <w:tcW w:w="4587" w:type="dxa"/>
            <w:tcBorders>
              <w:top w:val="nil"/>
              <w:left w:val="nil"/>
              <w:bottom w:val="nil"/>
              <w:right w:val="nil"/>
            </w:tcBorders>
            <w:noWrap/>
            <w:vAlign w:val="bottom"/>
            <w:hideMark/>
          </w:tcPr>
          <w:p w14:paraId="3F931B07" w14:textId="77777777" w:rsidR="00762C4E" w:rsidRPr="004B1A43" w:rsidRDefault="00762C4E" w:rsidP="00762C4E">
            <w:pPr>
              <w:autoSpaceDE/>
              <w:autoSpaceDN/>
              <w:adjustRightInd/>
              <w:jc w:val="both"/>
            </w:pPr>
            <w:r w:rsidRPr="004B1A43">
              <w:t xml:space="preserve">Net income (loss) </w:t>
            </w:r>
          </w:p>
        </w:tc>
        <w:tc>
          <w:tcPr>
            <w:tcW w:w="1152" w:type="dxa"/>
            <w:tcBorders>
              <w:top w:val="nil"/>
              <w:left w:val="nil"/>
              <w:bottom w:val="nil"/>
              <w:right w:val="nil"/>
            </w:tcBorders>
            <w:noWrap/>
            <w:vAlign w:val="bottom"/>
          </w:tcPr>
          <w:p w14:paraId="0980C20C" w14:textId="56F0A02C" w:rsidR="00762C4E" w:rsidRPr="007A458B" w:rsidRDefault="00762C4E" w:rsidP="00762C4E">
            <w:pPr>
              <w:autoSpaceDE/>
              <w:autoSpaceDN/>
              <w:adjustRightInd/>
              <w:jc w:val="right"/>
            </w:pPr>
            <w:r w:rsidRPr="007A458B">
              <w:t>$(</w:t>
            </w:r>
            <w:r w:rsidR="007A458B" w:rsidRPr="007A458B">
              <w:t>3</w:t>
            </w:r>
            <w:r w:rsidRPr="007A458B">
              <w:t>.</w:t>
            </w:r>
            <w:r w:rsidR="007A458B" w:rsidRPr="007A458B">
              <w:t>87</w:t>
            </w:r>
            <w:r w:rsidRPr="007A458B">
              <w:t>)</w:t>
            </w:r>
          </w:p>
        </w:tc>
        <w:tc>
          <w:tcPr>
            <w:tcW w:w="276" w:type="dxa"/>
            <w:tcBorders>
              <w:top w:val="nil"/>
              <w:left w:val="nil"/>
              <w:bottom w:val="nil"/>
              <w:right w:val="nil"/>
            </w:tcBorders>
            <w:noWrap/>
            <w:vAlign w:val="bottom"/>
          </w:tcPr>
          <w:p w14:paraId="2BA10C6B" w14:textId="77777777" w:rsidR="00762C4E" w:rsidRPr="007A458B" w:rsidRDefault="00762C4E" w:rsidP="00762C4E">
            <w:pPr>
              <w:autoSpaceDE/>
              <w:autoSpaceDN/>
              <w:adjustRightInd/>
              <w:jc w:val="right"/>
            </w:pPr>
          </w:p>
        </w:tc>
        <w:tc>
          <w:tcPr>
            <w:tcW w:w="1095" w:type="dxa"/>
            <w:tcBorders>
              <w:top w:val="nil"/>
              <w:left w:val="nil"/>
              <w:bottom w:val="nil"/>
              <w:right w:val="nil"/>
            </w:tcBorders>
            <w:noWrap/>
            <w:vAlign w:val="bottom"/>
          </w:tcPr>
          <w:p w14:paraId="5C663857" w14:textId="727E0A7E" w:rsidR="00762C4E" w:rsidRPr="007A458B" w:rsidRDefault="00762C4E" w:rsidP="00762C4E">
            <w:pPr>
              <w:autoSpaceDE/>
              <w:autoSpaceDN/>
              <w:adjustRightInd/>
              <w:jc w:val="right"/>
            </w:pPr>
            <w:r w:rsidRPr="007A458B">
              <w:t>$(2.1</w:t>
            </w:r>
            <w:r w:rsidR="009E43D8" w:rsidRPr="007A458B">
              <w:t>6</w:t>
            </w:r>
            <w:r w:rsidRPr="007A458B">
              <w:t>)</w:t>
            </w:r>
          </w:p>
        </w:tc>
        <w:tc>
          <w:tcPr>
            <w:tcW w:w="270" w:type="dxa"/>
            <w:tcBorders>
              <w:top w:val="nil"/>
              <w:left w:val="nil"/>
              <w:bottom w:val="nil"/>
              <w:right w:val="nil"/>
            </w:tcBorders>
          </w:tcPr>
          <w:p w14:paraId="588C48C8" w14:textId="77777777" w:rsidR="00762C4E" w:rsidRPr="007A458B" w:rsidRDefault="00762C4E" w:rsidP="00762C4E">
            <w:pPr>
              <w:autoSpaceDE/>
              <w:autoSpaceDN/>
              <w:adjustRightInd/>
              <w:jc w:val="right"/>
            </w:pPr>
          </w:p>
        </w:tc>
        <w:tc>
          <w:tcPr>
            <w:tcW w:w="1170" w:type="dxa"/>
            <w:tcBorders>
              <w:top w:val="nil"/>
              <w:left w:val="nil"/>
              <w:bottom w:val="nil"/>
              <w:right w:val="nil"/>
            </w:tcBorders>
          </w:tcPr>
          <w:p w14:paraId="18D0FF12" w14:textId="03AE7702" w:rsidR="00762C4E" w:rsidRPr="007A458B" w:rsidRDefault="00762C4E" w:rsidP="00762C4E">
            <w:pPr>
              <w:autoSpaceDE/>
              <w:autoSpaceDN/>
              <w:adjustRightInd/>
              <w:jc w:val="right"/>
            </w:pPr>
            <w:r w:rsidRPr="007A458B">
              <w:t>$(</w:t>
            </w:r>
            <w:r w:rsidR="007A458B" w:rsidRPr="007A458B">
              <w:t>6</w:t>
            </w:r>
            <w:r w:rsidRPr="007A458B">
              <w:t>.</w:t>
            </w:r>
            <w:r w:rsidR="007A458B" w:rsidRPr="007A458B">
              <w:t>13</w:t>
            </w:r>
            <w:r w:rsidRPr="007A458B">
              <w:t>)</w:t>
            </w:r>
          </w:p>
        </w:tc>
        <w:tc>
          <w:tcPr>
            <w:tcW w:w="270" w:type="dxa"/>
            <w:tcBorders>
              <w:top w:val="nil"/>
              <w:left w:val="nil"/>
              <w:bottom w:val="nil"/>
              <w:right w:val="nil"/>
            </w:tcBorders>
          </w:tcPr>
          <w:p w14:paraId="24D603EC" w14:textId="77777777" w:rsidR="00762C4E" w:rsidRPr="007A458B" w:rsidRDefault="00762C4E" w:rsidP="00762C4E">
            <w:pPr>
              <w:autoSpaceDE/>
              <w:autoSpaceDN/>
              <w:adjustRightInd/>
              <w:jc w:val="right"/>
            </w:pPr>
          </w:p>
        </w:tc>
        <w:tc>
          <w:tcPr>
            <w:tcW w:w="1080" w:type="dxa"/>
            <w:tcBorders>
              <w:top w:val="nil"/>
              <w:left w:val="nil"/>
              <w:bottom w:val="nil"/>
              <w:right w:val="nil"/>
            </w:tcBorders>
          </w:tcPr>
          <w:p w14:paraId="416138EB" w14:textId="10208F9B" w:rsidR="00762C4E" w:rsidRPr="007A458B" w:rsidRDefault="00762C4E" w:rsidP="00762C4E">
            <w:pPr>
              <w:autoSpaceDE/>
              <w:autoSpaceDN/>
              <w:adjustRightInd/>
              <w:jc w:val="right"/>
            </w:pPr>
            <w:r w:rsidRPr="007A458B">
              <w:t>$(</w:t>
            </w:r>
            <w:r w:rsidR="009E43D8" w:rsidRPr="007A458B">
              <w:t>7</w:t>
            </w:r>
            <w:r w:rsidR="00134F61">
              <w:t>.</w:t>
            </w:r>
            <w:r w:rsidR="009E43D8" w:rsidRPr="007A458B">
              <w:t>73</w:t>
            </w:r>
            <w:r w:rsidRPr="007A458B">
              <w:t>)</w:t>
            </w:r>
          </w:p>
        </w:tc>
      </w:tr>
      <w:tr w:rsidR="00762C4E" w:rsidRPr="0061112F" w14:paraId="0672935C" w14:textId="77777777" w:rsidTr="00FC19FE">
        <w:trPr>
          <w:trHeight w:val="177"/>
        </w:trPr>
        <w:tc>
          <w:tcPr>
            <w:tcW w:w="4587" w:type="dxa"/>
            <w:tcBorders>
              <w:top w:val="nil"/>
              <w:left w:val="nil"/>
              <w:bottom w:val="nil"/>
              <w:right w:val="nil"/>
            </w:tcBorders>
            <w:noWrap/>
            <w:vAlign w:val="bottom"/>
          </w:tcPr>
          <w:p w14:paraId="036D3AE5" w14:textId="77777777" w:rsidR="00762C4E" w:rsidRPr="004B1A43" w:rsidRDefault="00762C4E" w:rsidP="00762C4E">
            <w:pPr>
              <w:autoSpaceDE/>
              <w:autoSpaceDN/>
              <w:adjustRightInd/>
              <w:jc w:val="both"/>
            </w:pPr>
          </w:p>
        </w:tc>
        <w:tc>
          <w:tcPr>
            <w:tcW w:w="1152" w:type="dxa"/>
            <w:tcBorders>
              <w:top w:val="double" w:sz="4" w:space="0" w:color="auto"/>
              <w:left w:val="nil"/>
              <w:right w:val="nil"/>
            </w:tcBorders>
            <w:noWrap/>
            <w:vAlign w:val="bottom"/>
          </w:tcPr>
          <w:p w14:paraId="107911E0" w14:textId="77777777" w:rsidR="00762C4E" w:rsidRPr="004B1A43" w:rsidRDefault="00762C4E" w:rsidP="00762C4E">
            <w:pPr>
              <w:autoSpaceDE/>
              <w:autoSpaceDN/>
              <w:adjustRightInd/>
              <w:jc w:val="right"/>
            </w:pPr>
          </w:p>
        </w:tc>
        <w:tc>
          <w:tcPr>
            <w:tcW w:w="276" w:type="dxa"/>
            <w:tcBorders>
              <w:top w:val="nil"/>
              <w:left w:val="nil"/>
              <w:bottom w:val="nil"/>
              <w:right w:val="nil"/>
            </w:tcBorders>
            <w:noWrap/>
            <w:vAlign w:val="bottom"/>
          </w:tcPr>
          <w:p w14:paraId="0FAF7813" w14:textId="77777777" w:rsidR="00762C4E" w:rsidRPr="004B1A43" w:rsidRDefault="00762C4E" w:rsidP="00762C4E">
            <w:pPr>
              <w:autoSpaceDE/>
              <w:autoSpaceDN/>
              <w:adjustRightInd/>
              <w:jc w:val="right"/>
            </w:pPr>
          </w:p>
        </w:tc>
        <w:tc>
          <w:tcPr>
            <w:tcW w:w="1095" w:type="dxa"/>
            <w:tcBorders>
              <w:top w:val="double" w:sz="4" w:space="0" w:color="auto"/>
              <w:left w:val="nil"/>
              <w:right w:val="nil"/>
            </w:tcBorders>
            <w:noWrap/>
            <w:vAlign w:val="bottom"/>
          </w:tcPr>
          <w:p w14:paraId="599E1F22" w14:textId="77777777" w:rsidR="00762C4E" w:rsidRPr="004B1A43" w:rsidRDefault="00762C4E" w:rsidP="00762C4E">
            <w:pPr>
              <w:autoSpaceDE/>
              <w:autoSpaceDN/>
              <w:adjustRightInd/>
              <w:jc w:val="right"/>
            </w:pPr>
          </w:p>
        </w:tc>
        <w:tc>
          <w:tcPr>
            <w:tcW w:w="270" w:type="dxa"/>
            <w:tcBorders>
              <w:left w:val="nil"/>
              <w:bottom w:val="nil"/>
              <w:right w:val="nil"/>
            </w:tcBorders>
          </w:tcPr>
          <w:p w14:paraId="221D37F7" w14:textId="77777777" w:rsidR="00762C4E" w:rsidRPr="004B1A43" w:rsidRDefault="00762C4E" w:rsidP="00762C4E">
            <w:pPr>
              <w:autoSpaceDE/>
              <w:autoSpaceDN/>
              <w:adjustRightInd/>
              <w:jc w:val="right"/>
            </w:pPr>
          </w:p>
        </w:tc>
        <w:tc>
          <w:tcPr>
            <w:tcW w:w="1170" w:type="dxa"/>
            <w:tcBorders>
              <w:top w:val="double" w:sz="4" w:space="0" w:color="auto"/>
              <w:left w:val="nil"/>
              <w:bottom w:val="nil"/>
              <w:right w:val="nil"/>
            </w:tcBorders>
          </w:tcPr>
          <w:p w14:paraId="55F8C5B0" w14:textId="77777777" w:rsidR="00762C4E" w:rsidRPr="004B1A43" w:rsidRDefault="00762C4E" w:rsidP="00762C4E">
            <w:pPr>
              <w:autoSpaceDE/>
              <w:autoSpaceDN/>
              <w:adjustRightInd/>
              <w:jc w:val="right"/>
            </w:pPr>
          </w:p>
        </w:tc>
        <w:tc>
          <w:tcPr>
            <w:tcW w:w="270" w:type="dxa"/>
            <w:tcBorders>
              <w:left w:val="nil"/>
              <w:bottom w:val="nil"/>
              <w:right w:val="nil"/>
            </w:tcBorders>
          </w:tcPr>
          <w:p w14:paraId="43C4CB4D" w14:textId="77777777" w:rsidR="00762C4E" w:rsidRPr="004B1A43" w:rsidRDefault="00762C4E" w:rsidP="00762C4E">
            <w:pPr>
              <w:autoSpaceDE/>
              <w:autoSpaceDN/>
              <w:adjustRightInd/>
              <w:jc w:val="right"/>
            </w:pPr>
          </w:p>
        </w:tc>
        <w:tc>
          <w:tcPr>
            <w:tcW w:w="1080" w:type="dxa"/>
            <w:tcBorders>
              <w:top w:val="double" w:sz="4" w:space="0" w:color="auto"/>
              <w:left w:val="nil"/>
              <w:bottom w:val="nil"/>
              <w:right w:val="nil"/>
            </w:tcBorders>
          </w:tcPr>
          <w:p w14:paraId="6FB8250F" w14:textId="77777777" w:rsidR="00762C4E" w:rsidRPr="004B1A43" w:rsidRDefault="00762C4E" w:rsidP="00762C4E">
            <w:pPr>
              <w:autoSpaceDE/>
              <w:autoSpaceDN/>
              <w:adjustRightInd/>
              <w:jc w:val="right"/>
            </w:pPr>
          </w:p>
        </w:tc>
      </w:tr>
      <w:tr w:rsidR="00762C4E" w:rsidRPr="0061112F" w14:paraId="3D1EEC52" w14:textId="77777777" w:rsidTr="00FC19FE">
        <w:trPr>
          <w:trHeight w:val="288"/>
        </w:trPr>
        <w:tc>
          <w:tcPr>
            <w:tcW w:w="4587" w:type="dxa"/>
            <w:tcBorders>
              <w:top w:val="nil"/>
              <w:left w:val="nil"/>
              <w:bottom w:val="nil"/>
              <w:right w:val="nil"/>
            </w:tcBorders>
            <w:noWrap/>
            <w:vAlign w:val="bottom"/>
          </w:tcPr>
          <w:p w14:paraId="748BDAE7" w14:textId="77777777" w:rsidR="00762C4E" w:rsidRPr="00F71D68" w:rsidRDefault="00762C4E" w:rsidP="00762C4E">
            <w:pPr>
              <w:autoSpaceDE/>
              <w:autoSpaceDN/>
              <w:adjustRightInd/>
              <w:jc w:val="both"/>
              <w:rPr>
                <w:i/>
                <w:iCs/>
              </w:rPr>
            </w:pPr>
            <w:bookmarkStart w:id="39" w:name="_Hlk79672220"/>
          </w:p>
          <w:p w14:paraId="3459CFBF" w14:textId="77777777" w:rsidR="00762C4E" w:rsidRPr="00F71D68" w:rsidRDefault="00762C4E" w:rsidP="00762C4E">
            <w:pPr>
              <w:autoSpaceDE/>
              <w:autoSpaceDN/>
              <w:adjustRightInd/>
              <w:jc w:val="both"/>
              <w:rPr>
                <w:i/>
                <w:iCs/>
              </w:rPr>
            </w:pPr>
          </w:p>
          <w:p w14:paraId="7483A7BA" w14:textId="77777777" w:rsidR="00762C4E" w:rsidRPr="00F71D68" w:rsidRDefault="00762C4E" w:rsidP="00762C4E">
            <w:pPr>
              <w:autoSpaceDE/>
              <w:autoSpaceDN/>
              <w:adjustRightInd/>
              <w:jc w:val="both"/>
              <w:rPr>
                <w:i/>
                <w:iCs/>
              </w:rPr>
            </w:pPr>
            <w:r w:rsidRPr="00F71D68">
              <w:rPr>
                <w:i/>
                <w:iCs/>
              </w:rPr>
              <w:t>See notes to consolidated financial statements</w:t>
            </w:r>
          </w:p>
        </w:tc>
        <w:tc>
          <w:tcPr>
            <w:tcW w:w="1152" w:type="dxa"/>
            <w:tcBorders>
              <w:left w:val="nil"/>
              <w:right w:val="nil"/>
            </w:tcBorders>
            <w:noWrap/>
            <w:vAlign w:val="bottom"/>
          </w:tcPr>
          <w:p w14:paraId="79C68680" w14:textId="77777777" w:rsidR="00762C4E" w:rsidRPr="004B1A43" w:rsidRDefault="00762C4E" w:rsidP="00762C4E">
            <w:pPr>
              <w:autoSpaceDE/>
              <w:autoSpaceDN/>
              <w:adjustRightInd/>
              <w:jc w:val="right"/>
            </w:pPr>
          </w:p>
        </w:tc>
        <w:tc>
          <w:tcPr>
            <w:tcW w:w="276" w:type="dxa"/>
            <w:tcBorders>
              <w:top w:val="nil"/>
              <w:left w:val="nil"/>
              <w:bottom w:val="nil"/>
              <w:right w:val="nil"/>
            </w:tcBorders>
            <w:noWrap/>
            <w:vAlign w:val="bottom"/>
          </w:tcPr>
          <w:p w14:paraId="5022C71F" w14:textId="77777777" w:rsidR="00762C4E" w:rsidRPr="004B1A43" w:rsidRDefault="00762C4E" w:rsidP="00762C4E">
            <w:pPr>
              <w:autoSpaceDE/>
              <w:autoSpaceDN/>
              <w:adjustRightInd/>
              <w:jc w:val="right"/>
            </w:pPr>
          </w:p>
        </w:tc>
        <w:tc>
          <w:tcPr>
            <w:tcW w:w="1095" w:type="dxa"/>
            <w:tcBorders>
              <w:left w:val="nil"/>
              <w:right w:val="nil"/>
            </w:tcBorders>
            <w:noWrap/>
            <w:vAlign w:val="bottom"/>
          </w:tcPr>
          <w:p w14:paraId="613DDC62" w14:textId="77777777" w:rsidR="00762C4E" w:rsidRPr="004B1A43" w:rsidRDefault="00762C4E" w:rsidP="00762C4E">
            <w:pPr>
              <w:autoSpaceDE/>
              <w:autoSpaceDN/>
              <w:adjustRightInd/>
              <w:jc w:val="right"/>
            </w:pPr>
          </w:p>
        </w:tc>
        <w:tc>
          <w:tcPr>
            <w:tcW w:w="270" w:type="dxa"/>
            <w:tcBorders>
              <w:top w:val="nil"/>
              <w:left w:val="nil"/>
              <w:bottom w:val="nil"/>
              <w:right w:val="nil"/>
            </w:tcBorders>
          </w:tcPr>
          <w:p w14:paraId="1D3C7990" w14:textId="77777777" w:rsidR="00762C4E" w:rsidRPr="004B1A43" w:rsidRDefault="00762C4E" w:rsidP="00762C4E">
            <w:pPr>
              <w:autoSpaceDE/>
              <w:autoSpaceDN/>
              <w:adjustRightInd/>
              <w:jc w:val="right"/>
            </w:pPr>
          </w:p>
        </w:tc>
        <w:tc>
          <w:tcPr>
            <w:tcW w:w="1170" w:type="dxa"/>
            <w:tcBorders>
              <w:top w:val="nil"/>
              <w:left w:val="nil"/>
              <w:bottom w:val="nil"/>
              <w:right w:val="nil"/>
            </w:tcBorders>
          </w:tcPr>
          <w:p w14:paraId="34105A9C" w14:textId="77777777" w:rsidR="00762C4E" w:rsidRPr="004B1A43" w:rsidRDefault="00762C4E" w:rsidP="00762C4E">
            <w:pPr>
              <w:autoSpaceDE/>
              <w:autoSpaceDN/>
              <w:adjustRightInd/>
              <w:jc w:val="right"/>
            </w:pPr>
          </w:p>
        </w:tc>
        <w:tc>
          <w:tcPr>
            <w:tcW w:w="270" w:type="dxa"/>
            <w:tcBorders>
              <w:top w:val="nil"/>
              <w:left w:val="nil"/>
              <w:bottom w:val="nil"/>
              <w:right w:val="nil"/>
            </w:tcBorders>
          </w:tcPr>
          <w:p w14:paraId="7270EF95" w14:textId="77777777" w:rsidR="00762C4E" w:rsidRPr="004B1A43" w:rsidRDefault="00762C4E" w:rsidP="00762C4E">
            <w:pPr>
              <w:autoSpaceDE/>
              <w:autoSpaceDN/>
              <w:adjustRightInd/>
              <w:jc w:val="right"/>
            </w:pPr>
          </w:p>
        </w:tc>
        <w:tc>
          <w:tcPr>
            <w:tcW w:w="1080" w:type="dxa"/>
            <w:tcBorders>
              <w:top w:val="nil"/>
              <w:left w:val="nil"/>
              <w:bottom w:val="nil"/>
              <w:right w:val="nil"/>
            </w:tcBorders>
          </w:tcPr>
          <w:p w14:paraId="71A409F5" w14:textId="77777777" w:rsidR="00762C4E" w:rsidRPr="004B1A43" w:rsidRDefault="00762C4E" w:rsidP="00762C4E">
            <w:pPr>
              <w:autoSpaceDE/>
              <w:autoSpaceDN/>
              <w:adjustRightInd/>
              <w:jc w:val="right"/>
            </w:pPr>
          </w:p>
        </w:tc>
      </w:tr>
      <w:bookmarkEnd w:id="39"/>
      <w:tr w:rsidR="00762C4E" w:rsidRPr="0061112F" w14:paraId="1D606370" w14:textId="77777777" w:rsidTr="00FC19FE">
        <w:trPr>
          <w:trHeight w:val="171"/>
        </w:trPr>
        <w:tc>
          <w:tcPr>
            <w:tcW w:w="4587" w:type="dxa"/>
            <w:tcBorders>
              <w:top w:val="nil"/>
              <w:left w:val="nil"/>
              <w:bottom w:val="nil"/>
              <w:right w:val="nil"/>
            </w:tcBorders>
            <w:noWrap/>
            <w:vAlign w:val="bottom"/>
          </w:tcPr>
          <w:p w14:paraId="665CEA6A" w14:textId="77777777" w:rsidR="00762C4E" w:rsidRPr="0061112F" w:rsidRDefault="00762C4E" w:rsidP="00762C4E">
            <w:pPr>
              <w:autoSpaceDE/>
              <w:autoSpaceDN/>
              <w:adjustRightInd/>
              <w:jc w:val="both"/>
              <w:rPr>
                <w:sz w:val="22"/>
                <w:szCs w:val="22"/>
              </w:rPr>
            </w:pPr>
          </w:p>
        </w:tc>
        <w:tc>
          <w:tcPr>
            <w:tcW w:w="1152" w:type="dxa"/>
            <w:tcBorders>
              <w:left w:val="nil"/>
              <w:bottom w:val="nil"/>
              <w:right w:val="nil"/>
            </w:tcBorders>
            <w:noWrap/>
            <w:vAlign w:val="bottom"/>
          </w:tcPr>
          <w:p w14:paraId="1599E28A" w14:textId="77777777" w:rsidR="00762C4E" w:rsidRPr="0061112F" w:rsidRDefault="00762C4E" w:rsidP="00762C4E">
            <w:pPr>
              <w:autoSpaceDE/>
              <w:autoSpaceDN/>
              <w:adjustRightInd/>
              <w:jc w:val="right"/>
              <w:rPr>
                <w:sz w:val="22"/>
                <w:szCs w:val="22"/>
              </w:rPr>
            </w:pPr>
          </w:p>
        </w:tc>
        <w:tc>
          <w:tcPr>
            <w:tcW w:w="276" w:type="dxa"/>
            <w:tcBorders>
              <w:top w:val="nil"/>
              <w:left w:val="nil"/>
              <w:bottom w:val="nil"/>
              <w:right w:val="nil"/>
            </w:tcBorders>
            <w:noWrap/>
            <w:vAlign w:val="bottom"/>
          </w:tcPr>
          <w:p w14:paraId="4B948F8A" w14:textId="77777777" w:rsidR="00762C4E" w:rsidRPr="0061112F" w:rsidRDefault="00762C4E" w:rsidP="00762C4E">
            <w:pPr>
              <w:autoSpaceDE/>
              <w:autoSpaceDN/>
              <w:adjustRightInd/>
              <w:jc w:val="right"/>
              <w:rPr>
                <w:sz w:val="22"/>
                <w:szCs w:val="22"/>
              </w:rPr>
            </w:pPr>
          </w:p>
        </w:tc>
        <w:tc>
          <w:tcPr>
            <w:tcW w:w="1095" w:type="dxa"/>
            <w:tcBorders>
              <w:top w:val="nil"/>
              <w:left w:val="nil"/>
              <w:bottom w:val="nil"/>
              <w:right w:val="nil"/>
            </w:tcBorders>
            <w:noWrap/>
            <w:vAlign w:val="bottom"/>
          </w:tcPr>
          <w:p w14:paraId="1D537EF2" w14:textId="77777777" w:rsidR="00762C4E" w:rsidRPr="0061112F" w:rsidRDefault="00762C4E" w:rsidP="00762C4E">
            <w:pPr>
              <w:autoSpaceDE/>
              <w:autoSpaceDN/>
              <w:adjustRightInd/>
              <w:jc w:val="right"/>
              <w:rPr>
                <w:sz w:val="22"/>
                <w:szCs w:val="22"/>
              </w:rPr>
            </w:pPr>
          </w:p>
        </w:tc>
        <w:tc>
          <w:tcPr>
            <w:tcW w:w="270" w:type="dxa"/>
            <w:tcBorders>
              <w:top w:val="nil"/>
              <w:left w:val="nil"/>
              <w:bottom w:val="nil"/>
              <w:right w:val="nil"/>
            </w:tcBorders>
          </w:tcPr>
          <w:p w14:paraId="2739CD47" w14:textId="77777777" w:rsidR="00762C4E" w:rsidRPr="0061112F" w:rsidRDefault="00762C4E" w:rsidP="00762C4E">
            <w:pPr>
              <w:autoSpaceDE/>
              <w:autoSpaceDN/>
              <w:adjustRightInd/>
              <w:jc w:val="right"/>
              <w:rPr>
                <w:sz w:val="22"/>
                <w:szCs w:val="22"/>
              </w:rPr>
            </w:pPr>
          </w:p>
        </w:tc>
        <w:tc>
          <w:tcPr>
            <w:tcW w:w="1170" w:type="dxa"/>
            <w:tcBorders>
              <w:top w:val="nil"/>
              <w:left w:val="nil"/>
              <w:bottom w:val="nil"/>
              <w:right w:val="nil"/>
            </w:tcBorders>
          </w:tcPr>
          <w:p w14:paraId="6F84DB95" w14:textId="77777777" w:rsidR="00762C4E" w:rsidRPr="0061112F" w:rsidRDefault="00762C4E" w:rsidP="00762C4E">
            <w:pPr>
              <w:autoSpaceDE/>
              <w:autoSpaceDN/>
              <w:adjustRightInd/>
              <w:jc w:val="right"/>
              <w:rPr>
                <w:sz w:val="22"/>
                <w:szCs w:val="22"/>
              </w:rPr>
            </w:pPr>
          </w:p>
        </w:tc>
        <w:tc>
          <w:tcPr>
            <w:tcW w:w="270" w:type="dxa"/>
            <w:tcBorders>
              <w:top w:val="nil"/>
              <w:left w:val="nil"/>
              <w:bottom w:val="nil"/>
              <w:right w:val="nil"/>
            </w:tcBorders>
          </w:tcPr>
          <w:p w14:paraId="56E8C535" w14:textId="77777777" w:rsidR="00762C4E" w:rsidRPr="0061112F" w:rsidRDefault="00762C4E" w:rsidP="00762C4E">
            <w:pPr>
              <w:autoSpaceDE/>
              <w:autoSpaceDN/>
              <w:adjustRightInd/>
              <w:jc w:val="right"/>
              <w:rPr>
                <w:sz w:val="22"/>
                <w:szCs w:val="22"/>
              </w:rPr>
            </w:pPr>
          </w:p>
        </w:tc>
        <w:tc>
          <w:tcPr>
            <w:tcW w:w="1080" w:type="dxa"/>
            <w:tcBorders>
              <w:top w:val="nil"/>
              <w:left w:val="nil"/>
              <w:bottom w:val="nil"/>
              <w:right w:val="nil"/>
            </w:tcBorders>
          </w:tcPr>
          <w:p w14:paraId="3AE2799E" w14:textId="77777777" w:rsidR="00762C4E" w:rsidRPr="0061112F" w:rsidRDefault="00762C4E" w:rsidP="00762C4E">
            <w:pPr>
              <w:autoSpaceDE/>
              <w:autoSpaceDN/>
              <w:adjustRightInd/>
              <w:jc w:val="right"/>
              <w:rPr>
                <w:sz w:val="22"/>
                <w:szCs w:val="22"/>
              </w:rPr>
            </w:pPr>
          </w:p>
        </w:tc>
      </w:tr>
    </w:tbl>
    <w:p w14:paraId="5274DF38" w14:textId="68A43A96" w:rsidR="00DF1D6C" w:rsidRDefault="00DF1D6C" w:rsidP="00206116">
      <w:pPr>
        <w:autoSpaceDE/>
        <w:autoSpaceDN/>
        <w:adjustRightInd/>
        <w:ind w:left="720"/>
        <w:jc w:val="both"/>
      </w:pPr>
    </w:p>
    <w:p w14:paraId="7F688520" w14:textId="77777777" w:rsidR="00DF1D6C" w:rsidRPr="0061112F" w:rsidRDefault="00DF1D6C" w:rsidP="00206116">
      <w:pPr>
        <w:autoSpaceDE/>
        <w:autoSpaceDN/>
        <w:adjustRightInd/>
        <w:ind w:left="720"/>
        <w:jc w:val="both"/>
      </w:pPr>
    </w:p>
    <w:p w14:paraId="663C5B93" w14:textId="61ACDACD" w:rsidR="00B969BE" w:rsidRPr="00777D38" w:rsidRDefault="00B969BE" w:rsidP="00895FC1">
      <w:pPr>
        <w:autoSpaceDE/>
        <w:autoSpaceDN/>
        <w:adjustRightInd/>
        <w:jc w:val="both"/>
        <w:rPr>
          <w:b/>
          <w:bCs/>
        </w:rPr>
        <w:sectPr w:rsidR="00B969BE" w:rsidRPr="00777D38" w:rsidSect="001D5A7F">
          <w:headerReference w:type="default" r:id="rId12"/>
          <w:footerReference w:type="default" r:id="rId13"/>
          <w:pgSz w:w="12240" w:h="15840" w:code="1"/>
          <w:pgMar w:top="1440" w:right="720" w:bottom="720" w:left="1440" w:header="936" w:footer="432" w:gutter="0"/>
          <w:pgNumType w:fmt="upperRoman"/>
          <w:cols w:space="720"/>
          <w:docGrid w:linePitch="326"/>
        </w:sectPr>
      </w:pPr>
    </w:p>
    <w:p w14:paraId="349200F4" w14:textId="77777777" w:rsidR="00E3190F" w:rsidRDefault="00E3190F" w:rsidP="00495609">
      <w:pPr>
        <w:tabs>
          <w:tab w:val="left" w:pos="2340"/>
        </w:tabs>
        <w:autoSpaceDE/>
        <w:autoSpaceDN/>
        <w:adjustRightInd/>
        <w:ind w:left="720"/>
        <w:jc w:val="both"/>
      </w:pPr>
    </w:p>
    <w:p w14:paraId="2DF2DA12" w14:textId="77777777" w:rsidR="00206116" w:rsidRPr="00924284" w:rsidRDefault="00206116" w:rsidP="00206116">
      <w:pPr>
        <w:autoSpaceDE/>
        <w:autoSpaceDN/>
        <w:adjustRightInd/>
        <w:spacing w:line="320" w:lineRule="atLeast"/>
      </w:pPr>
    </w:p>
    <w:tbl>
      <w:tblPr>
        <w:tblW w:w="9090" w:type="dxa"/>
        <w:tblLayout w:type="fixed"/>
        <w:tblLook w:val="04A0" w:firstRow="1" w:lastRow="0" w:firstColumn="1" w:lastColumn="0" w:noHBand="0" w:noVBand="1"/>
      </w:tblPr>
      <w:tblGrid>
        <w:gridCol w:w="2340"/>
        <w:gridCol w:w="360"/>
        <w:gridCol w:w="900"/>
        <w:gridCol w:w="1170"/>
        <w:gridCol w:w="1260"/>
        <w:gridCol w:w="990"/>
        <w:gridCol w:w="1080"/>
        <w:gridCol w:w="907"/>
        <w:gridCol w:w="83"/>
      </w:tblGrid>
      <w:tr w:rsidR="003D35BD" w:rsidRPr="00B812B9" w14:paraId="24828E63" w14:textId="77777777" w:rsidTr="00495609">
        <w:trPr>
          <w:gridAfter w:val="1"/>
          <w:wAfter w:w="83" w:type="dxa"/>
          <w:trHeight w:val="1020"/>
        </w:trPr>
        <w:tc>
          <w:tcPr>
            <w:tcW w:w="2700" w:type="dxa"/>
            <w:gridSpan w:val="2"/>
            <w:tcBorders>
              <w:top w:val="nil"/>
              <w:left w:val="nil"/>
              <w:bottom w:val="nil"/>
              <w:right w:val="nil"/>
            </w:tcBorders>
            <w:noWrap/>
            <w:vAlign w:val="bottom"/>
          </w:tcPr>
          <w:p w14:paraId="533C0215" w14:textId="77777777" w:rsidR="003D35BD" w:rsidRPr="00B812B9" w:rsidRDefault="003D35BD" w:rsidP="00A645D2">
            <w:pPr>
              <w:autoSpaceDE/>
              <w:autoSpaceDN/>
              <w:adjustRightInd/>
              <w:rPr>
                <w:sz w:val="20"/>
                <w:szCs w:val="20"/>
              </w:rPr>
            </w:pPr>
          </w:p>
        </w:tc>
        <w:tc>
          <w:tcPr>
            <w:tcW w:w="6307" w:type="dxa"/>
            <w:gridSpan w:val="6"/>
            <w:tcBorders>
              <w:top w:val="nil"/>
              <w:left w:val="nil"/>
              <w:bottom w:val="single" w:sz="4" w:space="0" w:color="auto"/>
              <w:right w:val="nil"/>
            </w:tcBorders>
            <w:vAlign w:val="bottom"/>
          </w:tcPr>
          <w:p w14:paraId="2427C378" w14:textId="68D7040F" w:rsidR="003D35BD" w:rsidRPr="00F71D68" w:rsidRDefault="00E831D2" w:rsidP="00A645D2">
            <w:pPr>
              <w:autoSpaceDE/>
              <w:autoSpaceDN/>
              <w:adjustRightInd/>
              <w:jc w:val="center"/>
              <w:rPr>
                <w:color w:val="000000"/>
                <w:sz w:val="20"/>
                <w:szCs w:val="20"/>
              </w:rPr>
            </w:pPr>
            <w:r>
              <w:rPr>
                <w:sz w:val="20"/>
                <w:szCs w:val="20"/>
              </w:rPr>
              <w:t>Nine</w:t>
            </w:r>
            <w:r w:rsidR="003D35BD" w:rsidRPr="00F71D68">
              <w:rPr>
                <w:sz w:val="20"/>
                <w:szCs w:val="20"/>
              </w:rPr>
              <w:t xml:space="preserve"> Months Ended </w:t>
            </w:r>
            <w:r>
              <w:rPr>
                <w:sz w:val="20"/>
                <w:szCs w:val="20"/>
              </w:rPr>
              <w:t>September</w:t>
            </w:r>
            <w:r w:rsidR="00DF0A4D" w:rsidRPr="00F71D68">
              <w:rPr>
                <w:sz w:val="20"/>
                <w:szCs w:val="20"/>
              </w:rPr>
              <w:t xml:space="preserve"> 3</w:t>
            </w:r>
            <w:r w:rsidR="00FC19FE">
              <w:rPr>
                <w:sz w:val="20"/>
                <w:szCs w:val="20"/>
              </w:rPr>
              <w:t>0</w:t>
            </w:r>
            <w:r w:rsidR="003D35BD" w:rsidRPr="00F71D68">
              <w:rPr>
                <w:sz w:val="20"/>
                <w:szCs w:val="20"/>
              </w:rPr>
              <w:t xml:space="preserve">, </w:t>
            </w:r>
            <w:r w:rsidR="00DB43FA" w:rsidRPr="00F71D68">
              <w:rPr>
                <w:sz w:val="20"/>
                <w:szCs w:val="20"/>
              </w:rPr>
              <w:t>2021</w:t>
            </w:r>
          </w:p>
        </w:tc>
      </w:tr>
      <w:tr w:rsidR="00495609" w:rsidRPr="002F6779" w14:paraId="77B72FD3" w14:textId="77777777" w:rsidTr="00F71D68">
        <w:trPr>
          <w:trHeight w:val="1020"/>
        </w:trPr>
        <w:tc>
          <w:tcPr>
            <w:tcW w:w="2340" w:type="dxa"/>
            <w:tcBorders>
              <w:top w:val="nil"/>
              <w:left w:val="nil"/>
              <w:bottom w:val="nil"/>
              <w:right w:val="nil"/>
            </w:tcBorders>
            <w:noWrap/>
            <w:vAlign w:val="bottom"/>
            <w:hideMark/>
          </w:tcPr>
          <w:p w14:paraId="015F8112" w14:textId="77777777" w:rsidR="00495609" w:rsidRPr="00B812B9" w:rsidRDefault="00495609" w:rsidP="00A645D2">
            <w:pPr>
              <w:autoSpaceDE/>
              <w:autoSpaceDN/>
              <w:adjustRightInd/>
              <w:rPr>
                <w:sz w:val="20"/>
                <w:szCs w:val="20"/>
              </w:rPr>
            </w:pPr>
          </w:p>
        </w:tc>
        <w:tc>
          <w:tcPr>
            <w:tcW w:w="1260" w:type="dxa"/>
            <w:gridSpan w:val="2"/>
            <w:tcBorders>
              <w:top w:val="nil"/>
              <w:left w:val="nil"/>
              <w:bottom w:val="single" w:sz="4" w:space="0" w:color="auto"/>
              <w:right w:val="nil"/>
            </w:tcBorders>
            <w:vAlign w:val="bottom"/>
            <w:hideMark/>
          </w:tcPr>
          <w:p w14:paraId="47E72EEF" w14:textId="77777777" w:rsidR="00495609" w:rsidRPr="00F71D68" w:rsidRDefault="00495609" w:rsidP="00A645D2">
            <w:pPr>
              <w:autoSpaceDE/>
              <w:autoSpaceDN/>
              <w:adjustRightInd/>
              <w:jc w:val="center"/>
              <w:rPr>
                <w:color w:val="000000"/>
                <w:sz w:val="20"/>
                <w:szCs w:val="20"/>
              </w:rPr>
            </w:pPr>
            <w:r w:rsidRPr="00F71D68">
              <w:rPr>
                <w:color w:val="000000"/>
                <w:sz w:val="20"/>
                <w:szCs w:val="20"/>
              </w:rPr>
              <w:t>Common</w:t>
            </w:r>
            <w:r w:rsidRPr="00F71D68">
              <w:rPr>
                <w:color w:val="000000"/>
                <w:sz w:val="20"/>
                <w:szCs w:val="20"/>
              </w:rPr>
              <w:br/>
              <w:t>Shares</w:t>
            </w:r>
            <w:r w:rsidRPr="00F71D68">
              <w:rPr>
                <w:color w:val="000000"/>
                <w:sz w:val="20"/>
                <w:szCs w:val="20"/>
              </w:rPr>
              <w:br/>
              <w:t>Outstanding</w:t>
            </w:r>
          </w:p>
        </w:tc>
        <w:tc>
          <w:tcPr>
            <w:tcW w:w="1170" w:type="dxa"/>
            <w:tcBorders>
              <w:top w:val="nil"/>
              <w:left w:val="nil"/>
              <w:bottom w:val="single" w:sz="4" w:space="0" w:color="auto"/>
              <w:right w:val="nil"/>
            </w:tcBorders>
            <w:vAlign w:val="bottom"/>
            <w:hideMark/>
          </w:tcPr>
          <w:p w14:paraId="0B0064CA" w14:textId="77777777" w:rsidR="00495609" w:rsidRPr="00F71D68" w:rsidRDefault="00495609" w:rsidP="00A645D2">
            <w:pPr>
              <w:autoSpaceDE/>
              <w:autoSpaceDN/>
              <w:adjustRightInd/>
              <w:jc w:val="center"/>
              <w:rPr>
                <w:color w:val="000000"/>
                <w:sz w:val="20"/>
                <w:szCs w:val="20"/>
              </w:rPr>
            </w:pPr>
            <w:r w:rsidRPr="00F71D68">
              <w:rPr>
                <w:color w:val="000000"/>
                <w:sz w:val="20"/>
                <w:szCs w:val="20"/>
              </w:rPr>
              <w:t>Common</w:t>
            </w:r>
            <w:r w:rsidRPr="00F71D68">
              <w:rPr>
                <w:color w:val="000000"/>
                <w:sz w:val="20"/>
                <w:szCs w:val="20"/>
              </w:rPr>
              <w:br/>
              <w:t>Stock</w:t>
            </w:r>
          </w:p>
        </w:tc>
        <w:tc>
          <w:tcPr>
            <w:tcW w:w="1260" w:type="dxa"/>
            <w:tcBorders>
              <w:top w:val="nil"/>
              <w:left w:val="nil"/>
              <w:bottom w:val="single" w:sz="4" w:space="0" w:color="auto"/>
              <w:right w:val="nil"/>
            </w:tcBorders>
            <w:vAlign w:val="bottom"/>
            <w:hideMark/>
          </w:tcPr>
          <w:p w14:paraId="29274FC8" w14:textId="77777777" w:rsidR="00495609" w:rsidRPr="00F71D68" w:rsidRDefault="00495609" w:rsidP="00A645D2">
            <w:pPr>
              <w:autoSpaceDE/>
              <w:autoSpaceDN/>
              <w:adjustRightInd/>
              <w:jc w:val="center"/>
              <w:rPr>
                <w:color w:val="000000"/>
                <w:sz w:val="20"/>
                <w:szCs w:val="20"/>
              </w:rPr>
            </w:pPr>
            <w:r w:rsidRPr="00F71D68">
              <w:rPr>
                <w:color w:val="000000"/>
                <w:sz w:val="20"/>
                <w:szCs w:val="20"/>
              </w:rPr>
              <w:t>Contributed</w:t>
            </w:r>
            <w:r w:rsidRPr="00F71D68">
              <w:rPr>
                <w:color w:val="000000"/>
                <w:sz w:val="20"/>
                <w:szCs w:val="20"/>
              </w:rPr>
              <w:br/>
              <w:t>Capital</w:t>
            </w:r>
          </w:p>
        </w:tc>
        <w:tc>
          <w:tcPr>
            <w:tcW w:w="990" w:type="dxa"/>
            <w:tcBorders>
              <w:top w:val="nil"/>
              <w:left w:val="nil"/>
              <w:bottom w:val="single" w:sz="4" w:space="0" w:color="auto"/>
              <w:right w:val="nil"/>
            </w:tcBorders>
            <w:vAlign w:val="bottom"/>
            <w:hideMark/>
          </w:tcPr>
          <w:p w14:paraId="1A4C7359" w14:textId="77777777" w:rsidR="00495609" w:rsidRPr="00F71D68" w:rsidRDefault="00495609" w:rsidP="00A645D2">
            <w:pPr>
              <w:autoSpaceDE/>
              <w:autoSpaceDN/>
              <w:adjustRightInd/>
              <w:jc w:val="center"/>
              <w:rPr>
                <w:color w:val="000000"/>
                <w:sz w:val="20"/>
                <w:szCs w:val="20"/>
              </w:rPr>
            </w:pPr>
            <w:r w:rsidRPr="00F71D68">
              <w:rPr>
                <w:color w:val="000000"/>
                <w:sz w:val="20"/>
                <w:szCs w:val="20"/>
              </w:rPr>
              <w:t>Retained</w:t>
            </w:r>
            <w:r w:rsidRPr="00F71D68">
              <w:rPr>
                <w:color w:val="000000"/>
                <w:sz w:val="20"/>
                <w:szCs w:val="20"/>
              </w:rPr>
              <w:br/>
              <w:t>Earnings</w:t>
            </w:r>
          </w:p>
        </w:tc>
        <w:tc>
          <w:tcPr>
            <w:tcW w:w="1080" w:type="dxa"/>
            <w:tcBorders>
              <w:top w:val="nil"/>
              <w:left w:val="nil"/>
              <w:bottom w:val="single" w:sz="4" w:space="0" w:color="auto"/>
              <w:right w:val="nil"/>
            </w:tcBorders>
            <w:vAlign w:val="bottom"/>
            <w:hideMark/>
          </w:tcPr>
          <w:p w14:paraId="01F1D3CF" w14:textId="77777777" w:rsidR="00495609" w:rsidRPr="00F71D68" w:rsidRDefault="00495609" w:rsidP="00A645D2">
            <w:pPr>
              <w:autoSpaceDE/>
              <w:autoSpaceDN/>
              <w:adjustRightInd/>
              <w:jc w:val="center"/>
              <w:rPr>
                <w:color w:val="000000"/>
                <w:sz w:val="20"/>
                <w:szCs w:val="20"/>
              </w:rPr>
            </w:pPr>
            <w:r w:rsidRPr="00F71D68">
              <w:rPr>
                <w:color w:val="000000"/>
                <w:sz w:val="20"/>
                <w:szCs w:val="20"/>
              </w:rPr>
              <w:t>Treasury</w:t>
            </w:r>
            <w:r w:rsidRPr="00F71D68">
              <w:rPr>
                <w:color w:val="000000"/>
                <w:sz w:val="20"/>
                <w:szCs w:val="20"/>
              </w:rPr>
              <w:br/>
              <w:t>Shares</w:t>
            </w:r>
          </w:p>
        </w:tc>
        <w:tc>
          <w:tcPr>
            <w:tcW w:w="990" w:type="dxa"/>
            <w:gridSpan w:val="2"/>
            <w:tcBorders>
              <w:top w:val="nil"/>
              <w:left w:val="nil"/>
              <w:bottom w:val="single" w:sz="4" w:space="0" w:color="auto"/>
              <w:right w:val="nil"/>
            </w:tcBorders>
            <w:noWrap/>
            <w:vAlign w:val="bottom"/>
            <w:hideMark/>
          </w:tcPr>
          <w:p w14:paraId="355761B3" w14:textId="1B21B6ED" w:rsidR="00495609" w:rsidRPr="00F71D68" w:rsidRDefault="00495609" w:rsidP="00A645D2">
            <w:pPr>
              <w:autoSpaceDE/>
              <w:autoSpaceDN/>
              <w:adjustRightInd/>
              <w:jc w:val="center"/>
              <w:rPr>
                <w:color w:val="000000"/>
                <w:sz w:val="20"/>
                <w:szCs w:val="20"/>
              </w:rPr>
            </w:pPr>
            <w:r w:rsidRPr="00F71D68">
              <w:rPr>
                <w:color w:val="000000"/>
                <w:sz w:val="20"/>
                <w:szCs w:val="20"/>
              </w:rPr>
              <w:t xml:space="preserve">Total Equity </w:t>
            </w:r>
          </w:p>
        </w:tc>
      </w:tr>
      <w:tr w:rsidR="00495609" w:rsidRPr="00427D9E" w14:paraId="43835497" w14:textId="77777777" w:rsidTr="00F71D68">
        <w:trPr>
          <w:trHeight w:val="288"/>
        </w:trPr>
        <w:tc>
          <w:tcPr>
            <w:tcW w:w="2340" w:type="dxa"/>
            <w:tcBorders>
              <w:top w:val="nil"/>
              <w:left w:val="nil"/>
              <w:bottom w:val="nil"/>
              <w:right w:val="nil"/>
            </w:tcBorders>
            <w:vAlign w:val="bottom"/>
            <w:hideMark/>
          </w:tcPr>
          <w:p w14:paraId="49B29934" w14:textId="040564BA" w:rsidR="00495609" w:rsidRPr="00F71D68" w:rsidRDefault="00495609" w:rsidP="00A645D2">
            <w:pPr>
              <w:autoSpaceDE/>
              <w:autoSpaceDN/>
              <w:adjustRightInd/>
              <w:rPr>
                <w:color w:val="000000"/>
                <w:sz w:val="20"/>
                <w:szCs w:val="20"/>
              </w:rPr>
            </w:pPr>
            <w:r w:rsidRPr="00F71D68">
              <w:rPr>
                <w:color w:val="000000"/>
                <w:sz w:val="20"/>
                <w:szCs w:val="20"/>
              </w:rPr>
              <w:t xml:space="preserve">Balance </w:t>
            </w:r>
            <w:proofErr w:type="gramStart"/>
            <w:r w:rsidRPr="00F71D68">
              <w:rPr>
                <w:color w:val="000000"/>
                <w:sz w:val="20"/>
                <w:szCs w:val="20"/>
              </w:rPr>
              <w:t>at</w:t>
            </w:r>
            <w:proofErr w:type="gramEnd"/>
            <w:r w:rsidRPr="00F71D68">
              <w:rPr>
                <w:color w:val="000000"/>
                <w:sz w:val="20"/>
                <w:szCs w:val="20"/>
              </w:rPr>
              <w:t xml:space="preserve"> </w:t>
            </w:r>
            <w:r w:rsidR="00CC5462" w:rsidRPr="00F71D68">
              <w:rPr>
                <w:color w:val="000000"/>
                <w:sz w:val="20"/>
                <w:szCs w:val="20"/>
              </w:rPr>
              <w:t>December 31</w:t>
            </w:r>
            <w:r w:rsidRPr="00F71D68">
              <w:rPr>
                <w:color w:val="000000"/>
                <w:sz w:val="20"/>
                <w:szCs w:val="20"/>
              </w:rPr>
              <w:t>, 202</w:t>
            </w:r>
            <w:r w:rsidR="00CE5D9B" w:rsidRPr="00F71D68">
              <w:rPr>
                <w:color w:val="000000"/>
                <w:sz w:val="20"/>
                <w:szCs w:val="20"/>
              </w:rPr>
              <w:t>0</w:t>
            </w:r>
          </w:p>
        </w:tc>
        <w:tc>
          <w:tcPr>
            <w:tcW w:w="1260" w:type="dxa"/>
            <w:gridSpan w:val="2"/>
            <w:tcBorders>
              <w:top w:val="nil"/>
              <w:left w:val="nil"/>
              <w:bottom w:val="nil"/>
              <w:right w:val="nil"/>
            </w:tcBorders>
            <w:noWrap/>
            <w:vAlign w:val="bottom"/>
            <w:hideMark/>
          </w:tcPr>
          <w:p w14:paraId="63AC3AED" w14:textId="29B5E6DE" w:rsidR="00495609" w:rsidRPr="00F71D68" w:rsidRDefault="00495609" w:rsidP="00A645D2">
            <w:pPr>
              <w:autoSpaceDE/>
              <w:autoSpaceDN/>
              <w:adjustRightInd/>
              <w:jc w:val="right"/>
              <w:rPr>
                <w:color w:val="000000"/>
                <w:sz w:val="20"/>
                <w:szCs w:val="20"/>
              </w:rPr>
            </w:pPr>
            <w:r w:rsidRPr="00F71D68">
              <w:rPr>
                <w:color w:val="000000"/>
                <w:sz w:val="20"/>
                <w:szCs w:val="20"/>
              </w:rPr>
              <w:t>16</w:t>
            </w:r>
            <w:r w:rsidR="00121720">
              <w:rPr>
                <w:color w:val="000000"/>
                <w:sz w:val="20"/>
                <w:szCs w:val="20"/>
              </w:rPr>
              <w:t>,204</w:t>
            </w:r>
          </w:p>
        </w:tc>
        <w:tc>
          <w:tcPr>
            <w:tcW w:w="1170" w:type="dxa"/>
            <w:tcBorders>
              <w:top w:val="nil"/>
              <w:left w:val="nil"/>
              <w:bottom w:val="nil"/>
              <w:right w:val="nil"/>
            </w:tcBorders>
            <w:noWrap/>
            <w:vAlign w:val="bottom"/>
            <w:hideMark/>
          </w:tcPr>
          <w:p w14:paraId="615D8A89" w14:textId="77777777" w:rsidR="00495609" w:rsidRPr="00F71D68" w:rsidRDefault="00495609" w:rsidP="00A645D2">
            <w:pPr>
              <w:autoSpaceDE/>
              <w:autoSpaceDN/>
              <w:adjustRightInd/>
              <w:jc w:val="right"/>
              <w:rPr>
                <w:color w:val="000000"/>
                <w:sz w:val="20"/>
                <w:szCs w:val="20"/>
              </w:rPr>
            </w:pPr>
            <w:r w:rsidRPr="00F71D68">
              <w:rPr>
                <w:color w:val="000000"/>
                <w:sz w:val="20"/>
                <w:szCs w:val="20"/>
              </w:rPr>
              <w:t>$--</w:t>
            </w:r>
          </w:p>
        </w:tc>
        <w:tc>
          <w:tcPr>
            <w:tcW w:w="1260" w:type="dxa"/>
            <w:tcBorders>
              <w:top w:val="nil"/>
              <w:left w:val="nil"/>
              <w:bottom w:val="nil"/>
              <w:right w:val="nil"/>
            </w:tcBorders>
            <w:noWrap/>
            <w:vAlign w:val="bottom"/>
            <w:hideMark/>
          </w:tcPr>
          <w:p w14:paraId="5C988DF2" w14:textId="2B67BA3F" w:rsidR="00495609" w:rsidRPr="00F71D68" w:rsidRDefault="00495609" w:rsidP="00A645D2">
            <w:pPr>
              <w:autoSpaceDE/>
              <w:autoSpaceDN/>
              <w:adjustRightInd/>
              <w:jc w:val="right"/>
              <w:rPr>
                <w:color w:val="000000"/>
                <w:sz w:val="20"/>
                <w:szCs w:val="20"/>
              </w:rPr>
            </w:pPr>
            <w:r w:rsidRPr="00F71D68">
              <w:rPr>
                <w:color w:val="000000"/>
                <w:sz w:val="20"/>
                <w:szCs w:val="20"/>
              </w:rPr>
              <w:t xml:space="preserve">$5,612 </w:t>
            </w:r>
          </w:p>
        </w:tc>
        <w:tc>
          <w:tcPr>
            <w:tcW w:w="990" w:type="dxa"/>
            <w:tcBorders>
              <w:top w:val="nil"/>
              <w:left w:val="nil"/>
              <w:bottom w:val="nil"/>
              <w:right w:val="nil"/>
            </w:tcBorders>
            <w:noWrap/>
            <w:vAlign w:val="bottom"/>
            <w:hideMark/>
          </w:tcPr>
          <w:p w14:paraId="52172345" w14:textId="2AAAD2DC" w:rsidR="00495609" w:rsidRPr="00F71D68" w:rsidRDefault="00495609" w:rsidP="00A645D2">
            <w:pPr>
              <w:autoSpaceDE/>
              <w:autoSpaceDN/>
              <w:adjustRightInd/>
              <w:jc w:val="right"/>
              <w:rPr>
                <w:color w:val="000000"/>
                <w:sz w:val="20"/>
                <w:szCs w:val="20"/>
              </w:rPr>
            </w:pPr>
            <w:r w:rsidRPr="00F71D68">
              <w:rPr>
                <w:color w:val="000000"/>
                <w:sz w:val="20"/>
                <w:szCs w:val="20"/>
              </w:rPr>
              <w:t>$37,</w:t>
            </w:r>
            <w:r w:rsidR="00CC5462" w:rsidRPr="00F71D68">
              <w:rPr>
                <w:color w:val="000000"/>
                <w:sz w:val="20"/>
                <w:szCs w:val="20"/>
              </w:rPr>
              <w:t>565</w:t>
            </w:r>
            <w:r w:rsidRPr="00F71D68">
              <w:rPr>
                <w:color w:val="000000"/>
                <w:sz w:val="20"/>
                <w:szCs w:val="20"/>
              </w:rPr>
              <w:t xml:space="preserve"> </w:t>
            </w:r>
          </w:p>
        </w:tc>
        <w:tc>
          <w:tcPr>
            <w:tcW w:w="1080" w:type="dxa"/>
            <w:tcBorders>
              <w:top w:val="nil"/>
              <w:left w:val="nil"/>
              <w:bottom w:val="nil"/>
              <w:right w:val="nil"/>
            </w:tcBorders>
            <w:noWrap/>
            <w:vAlign w:val="bottom"/>
            <w:hideMark/>
          </w:tcPr>
          <w:p w14:paraId="5CB0E9A1" w14:textId="5DF5F08F" w:rsidR="00495609" w:rsidRPr="00F71D68" w:rsidRDefault="0022494C" w:rsidP="00A645D2">
            <w:pPr>
              <w:autoSpaceDE/>
              <w:autoSpaceDN/>
              <w:adjustRightInd/>
              <w:jc w:val="right"/>
              <w:rPr>
                <w:color w:val="000000"/>
                <w:sz w:val="20"/>
                <w:szCs w:val="20"/>
              </w:rPr>
            </w:pPr>
            <w:r>
              <w:rPr>
                <w:color w:val="000000"/>
                <w:sz w:val="20"/>
                <w:szCs w:val="20"/>
              </w:rPr>
              <w:t>$</w:t>
            </w:r>
            <w:r w:rsidR="00495609" w:rsidRPr="00F71D68">
              <w:rPr>
                <w:color w:val="000000"/>
                <w:sz w:val="20"/>
                <w:szCs w:val="20"/>
              </w:rPr>
              <w:t>(1</w:t>
            </w:r>
            <w:r w:rsidR="00CC5462" w:rsidRPr="00F71D68">
              <w:rPr>
                <w:color w:val="000000"/>
                <w:sz w:val="20"/>
                <w:szCs w:val="20"/>
              </w:rPr>
              <w:t>2</w:t>
            </w:r>
            <w:r w:rsidR="00495609" w:rsidRPr="00F71D68">
              <w:rPr>
                <w:color w:val="000000"/>
                <w:sz w:val="20"/>
                <w:szCs w:val="20"/>
              </w:rPr>
              <w:t>,</w:t>
            </w:r>
            <w:r w:rsidR="00CC5462" w:rsidRPr="00F71D68">
              <w:rPr>
                <w:color w:val="000000"/>
                <w:sz w:val="20"/>
                <w:szCs w:val="20"/>
              </w:rPr>
              <w:t>138</w:t>
            </w:r>
            <w:r w:rsidR="00495609" w:rsidRPr="00F71D68">
              <w:rPr>
                <w:color w:val="000000"/>
                <w:sz w:val="20"/>
                <w:szCs w:val="20"/>
              </w:rPr>
              <w:t>)</w:t>
            </w:r>
          </w:p>
        </w:tc>
        <w:tc>
          <w:tcPr>
            <w:tcW w:w="990" w:type="dxa"/>
            <w:gridSpan w:val="2"/>
            <w:tcBorders>
              <w:top w:val="nil"/>
              <w:left w:val="nil"/>
              <w:bottom w:val="nil"/>
              <w:right w:val="nil"/>
            </w:tcBorders>
            <w:noWrap/>
            <w:vAlign w:val="bottom"/>
            <w:hideMark/>
          </w:tcPr>
          <w:p w14:paraId="09FF9DFB" w14:textId="68F9F9CD" w:rsidR="00495609" w:rsidRPr="00F71D68" w:rsidRDefault="00495609" w:rsidP="00A645D2">
            <w:pPr>
              <w:autoSpaceDE/>
              <w:autoSpaceDN/>
              <w:adjustRightInd/>
              <w:jc w:val="right"/>
              <w:rPr>
                <w:color w:val="000000"/>
                <w:sz w:val="20"/>
                <w:szCs w:val="20"/>
              </w:rPr>
            </w:pPr>
            <w:r w:rsidRPr="00F71D68">
              <w:rPr>
                <w:color w:val="000000"/>
                <w:sz w:val="20"/>
                <w:szCs w:val="20"/>
              </w:rPr>
              <w:t>$3</w:t>
            </w:r>
            <w:r w:rsidR="00CC5462" w:rsidRPr="00F71D68">
              <w:rPr>
                <w:color w:val="000000"/>
                <w:sz w:val="20"/>
                <w:szCs w:val="20"/>
              </w:rPr>
              <w:t>1</w:t>
            </w:r>
            <w:r w:rsidRPr="00F71D68">
              <w:rPr>
                <w:color w:val="000000"/>
                <w:sz w:val="20"/>
                <w:szCs w:val="20"/>
              </w:rPr>
              <w:t>,</w:t>
            </w:r>
            <w:r w:rsidR="00CC5462" w:rsidRPr="00F71D68">
              <w:rPr>
                <w:color w:val="000000"/>
                <w:sz w:val="20"/>
                <w:szCs w:val="20"/>
              </w:rPr>
              <w:t>039</w:t>
            </w:r>
            <w:r w:rsidRPr="00F71D68">
              <w:rPr>
                <w:color w:val="000000"/>
                <w:sz w:val="20"/>
                <w:szCs w:val="20"/>
              </w:rPr>
              <w:t xml:space="preserve"> </w:t>
            </w:r>
          </w:p>
        </w:tc>
      </w:tr>
      <w:tr w:rsidR="00495609" w:rsidRPr="00427D9E" w14:paraId="07616434" w14:textId="77777777" w:rsidTr="00F71D68">
        <w:trPr>
          <w:trHeight w:val="288"/>
        </w:trPr>
        <w:tc>
          <w:tcPr>
            <w:tcW w:w="2340" w:type="dxa"/>
            <w:tcBorders>
              <w:top w:val="nil"/>
              <w:left w:val="nil"/>
              <w:bottom w:val="nil"/>
              <w:right w:val="nil"/>
            </w:tcBorders>
            <w:vAlign w:val="bottom"/>
          </w:tcPr>
          <w:p w14:paraId="6AD353F2" w14:textId="06B0CD3D" w:rsidR="00495609" w:rsidRPr="00F71D68" w:rsidRDefault="00495609" w:rsidP="00D1600B">
            <w:pPr>
              <w:autoSpaceDE/>
              <w:autoSpaceDN/>
              <w:adjustRightInd/>
              <w:ind w:left="144" w:hanging="72"/>
              <w:rPr>
                <w:color w:val="000000"/>
                <w:sz w:val="20"/>
                <w:szCs w:val="20"/>
              </w:rPr>
            </w:pPr>
            <w:r w:rsidRPr="00F71D68">
              <w:rPr>
                <w:color w:val="000000"/>
                <w:sz w:val="20"/>
                <w:szCs w:val="20"/>
              </w:rPr>
              <w:t>Net Income (</w:t>
            </w:r>
            <w:r w:rsidR="00E66320" w:rsidRPr="00F71D68">
              <w:rPr>
                <w:color w:val="000000"/>
                <w:sz w:val="20"/>
                <w:szCs w:val="20"/>
              </w:rPr>
              <w:t>l</w:t>
            </w:r>
            <w:r w:rsidRPr="00F71D68">
              <w:rPr>
                <w:color w:val="000000"/>
                <w:sz w:val="20"/>
                <w:szCs w:val="20"/>
              </w:rPr>
              <w:t>oss)</w:t>
            </w:r>
          </w:p>
        </w:tc>
        <w:tc>
          <w:tcPr>
            <w:tcW w:w="1260" w:type="dxa"/>
            <w:gridSpan w:val="2"/>
            <w:tcBorders>
              <w:left w:val="nil"/>
              <w:right w:val="nil"/>
            </w:tcBorders>
            <w:noWrap/>
            <w:vAlign w:val="bottom"/>
          </w:tcPr>
          <w:p w14:paraId="48486293" w14:textId="34E02A2D" w:rsidR="00495609" w:rsidRPr="00EB100D" w:rsidRDefault="00495609" w:rsidP="00A645D2">
            <w:pPr>
              <w:autoSpaceDE/>
              <w:autoSpaceDN/>
              <w:adjustRightInd/>
              <w:jc w:val="right"/>
              <w:rPr>
                <w:color w:val="000000"/>
                <w:sz w:val="20"/>
                <w:szCs w:val="20"/>
              </w:rPr>
            </w:pPr>
            <w:r w:rsidRPr="00EB100D">
              <w:rPr>
                <w:color w:val="000000"/>
                <w:sz w:val="20"/>
                <w:szCs w:val="20"/>
              </w:rPr>
              <w:t>--</w:t>
            </w:r>
          </w:p>
        </w:tc>
        <w:tc>
          <w:tcPr>
            <w:tcW w:w="1170" w:type="dxa"/>
            <w:tcBorders>
              <w:left w:val="nil"/>
              <w:right w:val="nil"/>
            </w:tcBorders>
            <w:noWrap/>
            <w:vAlign w:val="bottom"/>
          </w:tcPr>
          <w:p w14:paraId="1BFA7E64" w14:textId="3032F2BA" w:rsidR="00495609" w:rsidRPr="00EB100D" w:rsidRDefault="00495609" w:rsidP="00A645D2">
            <w:pPr>
              <w:autoSpaceDE/>
              <w:autoSpaceDN/>
              <w:adjustRightInd/>
              <w:jc w:val="right"/>
              <w:rPr>
                <w:color w:val="000000"/>
                <w:sz w:val="20"/>
                <w:szCs w:val="20"/>
              </w:rPr>
            </w:pPr>
            <w:r w:rsidRPr="00EB100D">
              <w:rPr>
                <w:color w:val="000000"/>
                <w:sz w:val="20"/>
                <w:szCs w:val="20"/>
              </w:rPr>
              <w:t>--</w:t>
            </w:r>
          </w:p>
        </w:tc>
        <w:tc>
          <w:tcPr>
            <w:tcW w:w="1260" w:type="dxa"/>
            <w:tcBorders>
              <w:left w:val="nil"/>
              <w:right w:val="nil"/>
            </w:tcBorders>
            <w:noWrap/>
            <w:vAlign w:val="bottom"/>
          </w:tcPr>
          <w:p w14:paraId="73CF85C3" w14:textId="04A9401C" w:rsidR="00495609" w:rsidRPr="00EB100D" w:rsidRDefault="00495609" w:rsidP="00A645D2">
            <w:pPr>
              <w:autoSpaceDE/>
              <w:autoSpaceDN/>
              <w:adjustRightInd/>
              <w:jc w:val="right"/>
              <w:rPr>
                <w:color w:val="000000"/>
                <w:sz w:val="20"/>
                <w:szCs w:val="20"/>
              </w:rPr>
            </w:pPr>
            <w:r w:rsidRPr="00EB100D">
              <w:rPr>
                <w:color w:val="000000"/>
                <w:sz w:val="20"/>
                <w:szCs w:val="20"/>
              </w:rPr>
              <w:t>--</w:t>
            </w:r>
          </w:p>
        </w:tc>
        <w:tc>
          <w:tcPr>
            <w:tcW w:w="990" w:type="dxa"/>
            <w:tcBorders>
              <w:left w:val="nil"/>
              <w:right w:val="nil"/>
            </w:tcBorders>
            <w:noWrap/>
            <w:vAlign w:val="bottom"/>
          </w:tcPr>
          <w:p w14:paraId="18F93C68" w14:textId="74874266" w:rsidR="00495609" w:rsidRPr="00EB100D" w:rsidRDefault="000372E8" w:rsidP="00A645D2">
            <w:pPr>
              <w:autoSpaceDE/>
              <w:autoSpaceDN/>
              <w:adjustRightInd/>
              <w:jc w:val="right"/>
              <w:rPr>
                <w:color w:val="000000"/>
                <w:sz w:val="20"/>
                <w:szCs w:val="20"/>
              </w:rPr>
            </w:pPr>
            <w:r w:rsidRPr="00EB100D">
              <w:rPr>
                <w:color w:val="000000"/>
                <w:sz w:val="20"/>
                <w:szCs w:val="20"/>
              </w:rPr>
              <w:t>(</w:t>
            </w:r>
            <w:r w:rsidR="00EB100D" w:rsidRPr="00EB100D">
              <w:rPr>
                <w:color w:val="000000"/>
                <w:sz w:val="20"/>
                <w:szCs w:val="20"/>
              </w:rPr>
              <w:t>96</w:t>
            </w:r>
            <w:r w:rsidRPr="00EB100D">
              <w:rPr>
                <w:color w:val="000000"/>
                <w:sz w:val="20"/>
                <w:szCs w:val="20"/>
              </w:rPr>
              <w:t>)</w:t>
            </w:r>
          </w:p>
        </w:tc>
        <w:tc>
          <w:tcPr>
            <w:tcW w:w="1080" w:type="dxa"/>
            <w:tcBorders>
              <w:left w:val="nil"/>
              <w:right w:val="nil"/>
            </w:tcBorders>
            <w:noWrap/>
            <w:vAlign w:val="bottom"/>
          </w:tcPr>
          <w:p w14:paraId="2C8F13C3" w14:textId="3E99C573" w:rsidR="00495609" w:rsidRPr="00EB100D" w:rsidRDefault="00495609" w:rsidP="00A645D2">
            <w:pPr>
              <w:autoSpaceDE/>
              <w:autoSpaceDN/>
              <w:adjustRightInd/>
              <w:jc w:val="right"/>
              <w:rPr>
                <w:color w:val="000000"/>
                <w:sz w:val="20"/>
                <w:szCs w:val="20"/>
              </w:rPr>
            </w:pPr>
            <w:r w:rsidRPr="00EB100D">
              <w:rPr>
                <w:color w:val="000000"/>
                <w:sz w:val="20"/>
                <w:szCs w:val="20"/>
              </w:rPr>
              <w:t>--</w:t>
            </w:r>
          </w:p>
        </w:tc>
        <w:tc>
          <w:tcPr>
            <w:tcW w:w="990" w:type="dxa"/>
            <w:gridSpan w:val="2"/>
            <w:tcBorders>
              <w:left w:val="nil"/>
              <w:right w:val="nil"/>
            </w:tcBorders>
            <w:noWrap/>
            <w:vAlign w:val="bottom"/>
          </w:tcPr>
          <w:p w14:paraId="07F5D93D" w14:textId="545EA1D2" w:rsidR="00495609" w:rsidRPr="00EB100D" w:rsidRDefault="000372E8" w:rsidP="00A645D2">
            <w:pPr>
              <w:autoSpaceDE/>
              <w:autoSpaceDN/>
              <w:adjustRightInd/>
              <w:jc w:val="right"/>
              <w:rPr>
                <w:color w:val="000000"/>
                <w:sz w:val="20"/>
                <w:szCs w:val="20"/>
              </w:rPr>
            </w:pPr>
            <w:r w:rsidRPr="00EB100D">
              <w:rPr>
                <w:color w:val="000000"/>
                <w:sz w:val="20"/>
                <w:szCs w:val="20"/>
              </w:rPr>
              <w:t>(</w:t>
            </w:r>
            <w:r w:rsidR="00EB100D" w:rsidRPr="00EB100D">
              <w:rPr>
                <w:color w:val="000000"/>
                <w:sz w:val="20"/>
                <w:szCs w:val="20"/>
              </w:rPr>
              <w:t>96</w:t>
            </w:r>
            <w:r w:rsidRPr="00EB100D">
              <w:rPr>
                <w:color w:val="000000"/>
                <w:sz w:val="20"/>
                <w:szCs w:val="20"/>
              </w:rPr>
              <w:t>)</w:t>
            </w:r>
          </w:p>
        </w:tc>
      </w:tr>
      <w:tr w:rsidR="00495609" w:rsidRPr="00427D9E" w14:paraId="3A3F59BE" w14:textId="77777777" w:rsidTr="00F71D68">
        <w:trPr>
          <w:trHeight w:val="288"/>
        </w:trPr>
        <w:tc>
          <w:tcPr>
            <w:tcW w:w="2340" w:type="dxa"/>
            <w:tcBorders>
              <w:top w:val="nil"/>
              <w:left w:val="nil"/>
              <w:bottom w:val="nil"/>
              <w:right w:val="nil"/>
            </w:tcBorders>
            <w:vAlign w:val="bottom"/>
          </w:tcPr>
          <w:p w14:paraId="3E4DE0FA" w14:textId="6A595832" w:rsidR="00495609" w:rsidRPr="00F71D68" w:rsidRDefault="00495609" w:rsidP="00D1600B">
            <w:pPr>
              <w:autoSpaceDE/>
              <w:autoSpaceDN/>
              <w:adjustRightInd/>
              <w:ind w:left="144" w:hanging="72"/>
              <w:rPr>
                <w:color w:val="000000"/>
                <w:sz w:val="20"/>
                <w:szCs w:val="20"/>
              </w:rPr>
            </w:pPr>
            <w:r w:rsidRPr="00F71D68">
              <w:rPr>
                <w:color w:val="000000"/>
                <w:sz w:val="20"/>
                <w:szCs w:val="20"/>
              </w:rPr>
              <w:t xml:space="preserve">Purchase of Treasury </w:t>
            </w:r>
            <w:r w:rsidR="00E66320" w:rsidRPr="00F71D68">
              <w:rPr>
                <w:color w:val="000000"/>
                <w:sz w:val="20"/>
                <w:szCs w:val="20"/>
              </w:rPr>
              <w:t>s</w:t>
            </w:r>
            <w:r w:rsidRPr="00F71D68">
              <w:rPr>
                <w:color w:val="000000"/>
                <w:sz w:val="20"/>
                <w:szCs w:val="20"/>
              </w:rPr>
              <w:t>hares</w:t>
            </w:r>
          </w:p>
        </w:tc>
        <w:tc>
          <w:tcPr>
            <w:tcW w:w="1260" w:type="dxa"/>
            <w:gridSpan w:val="2"/>
            <w:tcBorders>
              <w:left w:val="nil"/>
              <w:bottom w:val="single" w:sz="4" w:space="0" w:color="auto"/>
              <w:right w:val="nil"/>
            </w:tcBorders>
            <w:shd w:val="clear" w:color="auto" w:fill="auto"/>
            <w:noWrap/>
            <w:vAlign w:val="bottom"/>
          </w:tcPr>
          <w:p w14:paraId="4CBCB89A" w14:textId="775848EF" w:rsidR="00495609" w:rsidRPr="00EB100D" w:rsidRDefault="00495609" w:rsidP="00A645D2">
            <w:pPr>
              <w:autoSpaceDE/>
              <w:autoSpaceDN/>
              <w:adjustRightInd/>
              <w:jc w:val="right"/>
              <w:rPr>
                <w:color w:val="000000"/>
                <w:sz w:val="20"/>
                <w:szCs w:val="20"/>
              </w:rPr>
            </w:pPr>
            <w:r w:rsidRPr="00EB100D">
              <w:rPr>
                <w:color w:val="000000"/>
                <w:sz w:val="20"/>
                <w:szCs w:val="20"/>
              </w:rPr>
              <w:t>(</w:t>
            </w:r>
            <w:r w:rsidR="007F7FF2" w:rsidRPr="00EB100D">
              <w:rPr>
                <w:color w:val="000000"/>
                <w:sz w:val="20"/>
                <w:szCs w:val="20"/>
              </w:rPr>
              <w:t>1,035</w:t>
            </w:r>
            <w:r w:rsidRPr="00EB100D">
              <w:rPr>
                <w:color w:val="000000"/>
                <w:sz w:val="20"/>
                <w:szCs w:val="20"/>
              </w:rPr>
              <w:t>)</w:t>
            </w:r>
          </w:p>
        </w:tc>
        <w:tc>
          <w:tcPr>
            <w:tcW w:w="1170" w:type="dxa"/>
            <w:tcBorders>
              <w:left w:val="nil"/>
              <w:bottom w:val="single" w:sz="4" w:space="0" w:color="auto"/>
              <w:right w:val="nil"/>
            </w:tcBorders>
            <w:noWrap/>
            <w:vAlign w:val="bottom"/>
          </w:tcPr>
          <w:p w14:paraId="7F02C75B" w14:textId="0F68AEB8" w:rsidR="00495609" w:rsidRPr="00EB100D" w:rsidRDefault="00495609" w:rsidP="00A645D2">
            <w:pPr>
              <w:autoSpaceDE/>
              <w:autoSpaceDN/>
              <w:adjustRightInd/>
              <w:jc w:val="right"/>
              <w:rPr>
                <w:color w:val="000000"/>
                <w:sz w:val="20"/>
                <w:szCs w:val="20"/>
              </w:rPr>
            </w:pPr>
            <w:r w:rsidRPr="00EB100D">
              <w:rPr>
                <w:color w:val="000000"/>
                <w:sz w:val="20"/>
                <w:szCs w:val="20"/>
              </w:rPr>
              <w:t>--</w:t>
            </w:r>
          </w:p>
        </w:tc>
        <w:tc>
          <w:tcPr>
            <w:tcW w:w="1260" w:type="dxa"/>
            <w:tcBorders>
              <w:left w:val="nil"/>
              <w:bottom w:val="single" w:sz="4" w:space="0" w:color="auto"/>
              <w:right w:val="nil"/>
            </w:tcBorders>
            <w:noWrap/>
            <w:vAlign w:val="bottom"/>
          </w:tcPr>
          <w:p w14:paraId="28A6DEFA" w14:textId="29DE83C5" w:rsidR="00495609" w:rsidRPr="00EB100D" w:rsidRDefault="00495609" w:rsidP="00A645D2">
            <w:pPr>
              <w:autoSpaceDE/>
              <w:autoSpaceDN/>
              <w:adjustRightInd/>
              <w:jc w:val="right"/>
              <w:rPr>
                <w:color w:val="000000"/>
                <w:sz w:val="20"/>
                <w:szCs w:val="20"/>
              </w:rPr>
            </w:pPr>
            <w:r w:rsidRPr="00EB100D">
              <w:rPr>
                <w:color w:val="000000"/>
                <w:sz w:val="20"/>
                <w:szCs w:val="20"/>
              </w:rPr>
              <w:t>--</w:t>
            </w:r>
          </w:p>
        </w:tc>
        <w:tc>
          <w:tcPr>
            <w:tcW w:w="990" w:type="dxa"/>
            <w:tcBorders>
              <w:left w:val="nil"/>
              <w:bottom w:val="single" w:sz="4" w:space="0" w:color="auto"/>
              <w:right w:val="nil"/>
            </w:tcBorders>
            <w:noWrap/>
            <w:vAlign w:val="bottom"/>
          </w:tcPr>
          <w:p w14:paraId="31B094A8" w14:textId="35DE6719" w:rsidR="00495609" w:rsidRPr="00EB100D" w:rsidRDefault="00495609" w:rsidP="00A645D2">
            <w:pPr>
              <w:autoSpaceDE/>
              <w:autoSpaceDN/>
              <w:adjustRightInd/>
              <w:jc w:val="right"/>
              <w:rPr>
                <w:color w:val="000000"/>
                <w:sz w:val="20"/>
                <w:szCs w:val="20"/>
              </w:rPr>
            </w:pPr>
            <w:r w:rsidRPr="00EB100D">
              <w:rPr>
                <w:color w:val="000000"/>
                <w:sz w:val="20"/>
                <w:szCs w:val="20"/>
              </w:rPr>
              <w:t>--</w:t>
            </w:r>
          </w:p>
        </w:tc>
        <w:tc>
          <w:tcPr>
            <w:tcW w:w="1080" w:type="dxa"/>
            <w:tcBorders>
              <w:left w:val="nil"/>
              <w:bottom w:val="single" w:sz="4" w:space="0" w:color="auto"/>
              <w:right w:val="nil"/>
            </w:tcBorders>
            <w:noWrap/>
            <w:vAlign w:val="bottom"/>
          </w:tcPr>
          <w:p w14:paraId="5E43BB6F" w14:textId="09A3D428" w:rsidR="00495609" w:rsidRPr="00EB100D" w:rsidRDefault="00495609" w:rsidP="00A645D2">
            <w:pPr>
              <w:autoSpaceDE/>
              <w:autoSpaceDN/>
              <w:adjustRightInd/>
              <w:jc w:val="right"/>
              <w:rPr>
                <w:color w:val="000000"/>
                <w:sz w:val="20"/>
                <w:szCs w:val="20"/>
              </w:rPr>
            </w:pPr>
            <w:r w:rsidRPr="00EB100D">
              <w:rPr>
                <w:color w:val="000000"/>
                <w:sz w:val="20"/>
                <w:szCs w:val="20"/>
              </w:rPr>
              <w:t>(</w:t>
            </w:r>
            <w:r w:rsidR="00121720" w:rsidRPr="00EB100D">
              <w:rPr>
                <w:color w:val="000000"/>
                <w:sz w:val="20"/>
                <w:szCs w:val="20"/>
              </w:rPr>
              <w:t>1,</w:t>
            </w:r>
            <w:r w:rsidR="00762C4E" w:rsidRPr="00EB100D">
              <w:rPr>
                <w:color w:val="000000"/>
                <w:sz w:val="20"/>
                <w:szCs w:val="20"/>
              </w:rPr>
              <w:t>841</w:t>
            </w:r>
            <w:r w:rsidRPr="00EB100D">
              <w:rPr>
                <w:color w:val="000000"/>
                <w:sz w:val="20"/>
                <w:szCs w:val="20"/>
              </w:rPr>
              <w:t>)</w:t>
            </w:r>
          </w:p>
        </w:tc>
        <w:tc>
          <w:tcPr>
            <w:tcW w:w="990" w:type="dxa"/>
            <w:gridSpan w:val="2"/>
            <w:tcBorders>
              <w:left w:val="nil"/>
              <w:bottom w:val="single" w:sz="4" w:space="0" w:color="auto"/>
              <w:right w:val="nil"/>
            </w:tcBorders>
            <w:noWrap/>
            <w:vAlign w:val="bottom"/>
          </w:tcPr>
          <w:p w14:paraId="677A7953" w14:textId="0B58D104" w:rsidR="00495609" w:rsidRPr="00EB100D" w:rsidRDefault="00495609" w:rsidP="00A645D2">
            <w:pPr>
              <w:autoSpaceDE/>
              <w:autoSpaceDN/>
              <w:adjustRightInd/>
              <w:jc w:val="right"/>
              <w:rPr>
                <w:color w:val="000000"/>
                <w:sz w:val="20"/>
                <w:szCs w:val="20"/>
              </w:rPr>
            </w:pPr>
            <w:r w:rsidRPr="00EB100D">
              <w:rPr>
                <w:color w:val="000000"/>
                <w:sz w:val="20"/>
                <w:szCs w:val="20"/>
              </w:rPr>
              <w:t>(</w:t>
            </w:r>
            <w:r w:rsidR="00121720" w:rsidRPr="00EB100D">
              <w:rPr>
                <w:color w:val="000000"/>
                <w:sz w:val="20"/>
                <w:szCs w:val="20"/>
              </w:rPr>
              <w:t>1,</w:t>
            </w:r>
            <w:r w:rsidR="00762C4E" w:rsidRPr="00EB100D">
              <w:rPr>
                <w:color w:val="000000"/>
                <w:sz w:val="20"/>
                <w:szCs w:val="20"/>
              </w:rPr>
              <w:t>841</w:t>
            </w:r>
            <w:r w:rsidRPr="00EB100D">
              <w:rPr>
                <w:color w:val="000000"/>
                <w:sz w:val="20"/>
                <w:szCs w:val="20"/>
              </w:rPr>
              <w:t>)</w:t>
            </w:r>
          </w:p>
        </w:tc>
      </w:tr>
      <w:tr w:rsidR="00495609" w:rsidRPr="002F6779" w14:paraId="67275421" w14:textId="77777777" w:rsidTr="00F71D68">
        <w:trPr>
          <w:trHeight w:val="288"/>
        </w:trPr>
        <w:tc>
          <w:tcPr>
            <w:tcW w:w="2340" w:type="dxa"/>
            <w:tcBorders>
              <w:top w:val="nil"/>
              <w:left w:val="nil"/>
              <w:bottom w:val="nil"/>
              <w:right w:val="nil"/>
            </w:tcBorders>
            <w:vAlign w:val="bottom"/>
          </w:tcPr>
          <w:p w14:paraId="53BB3474" w14:textId="6270DC71" w:rsidR="00495609" w:rsidRPr="00F71D68" w:rsidRDefault="00495609" w:rsidP="00A645D2">
            <w:pPr>
              <w:autoSpaceDE/>
              <w:autoSpaceDN/>
              <w:adjustRightInd/>
              <w:rPr>
                <w:color w:val="000000"/>
                <w:sz w:val="20"/>
                <w:szCs w:val="20"/>
              </w:rPr>
            </w:pPr>
            <w:r w:rsidRPr="00F71D68">
              <w:rPr>
                <w:color w:val="000000"/>
                <w:sz w:val="20"/>
                <w:szCs w:val="20"/>
              </w:rPr>
              <w:t xml:space="preserve">Balance </w:t>
            </w:r>
            <w:proofErr w:type="gramStart"/>
            <w:r w:rsidRPr="00F71D68">
              <w:rPr>
                <w:color w:val="000000"/>
                <w:sz w:val="20"/>
                <w:szCs w:val="20"/>
              </w:rPr>
              <w:t>at</w:t>
            </w:r>
            <w:proofErr w:type="gramEnd"/>
            <w:r w:rsidRPr="00F71D68">
              <w:rPr>
                <w:color w:val="000000"/>
                <w:sz w:val="20"/>
                <w:szCs w:val="20"/>
              </w:rPr>
              <w:t xml:space="preserve"> </w:t>
            </w:r>
            <w:r w:rsidR="00E831D2">
              <w:rPr>
                <w:color w:val="000000"/>
                <w:sz w:val="20"/>
                <w:szCs w:val="20"/>
              </w:rPr>
              <w:t>September</w:t>
            </w:r>
            <w:r w:rsidR="00DF0A4D" w:rsidRPr="00F71D68">
              <w:rPr>
                <w:color w:val="000000"/>
                <w:sz w:val="20"/>
                <w:szCs w:val="20"/>
              </w:rPr>
              <w:t xml:space="preserve"> 3</w:t>
            </w:r>
            <w:r w:rsidR="00FC19FE">
              <w:rPr>
                <w:color w:val="000000"/>
                <w:sz w:val="20"/>
                <w:szCs w:val="20"/>
              </w:rPr>
              <w:t>0</w:t>
            </w:r>
            <w:r w:rsidRPr="00F71D68">
              <w:rPr>
                <w:color w:val="000000"/>
                <w:sz w:val="20"/>
                <w:szCs w:val="20"/>
              </w:rPr>
              <w:t>, 202</w:t>
            </w:r>
            <w:r w:rsidR="00427D9E" w:rsidRPr="00F71D68">
              <w:rPr>
                <w:color w:val="000000"/>
                <w:sz w:val="20"/>
                <w:szCs w:val="20"/>
              </w:rPr>
              <w:t>1</w:t>
            </w:r>
          </w:p>
        </w:tc>
        <w:tc>
          <w:tcPr>
            <w:tcW w:w="1260" w:type="dxa"/>
            <w:gridSpan w:val="2"/>
            <w:tcBorders>
              <w:top w:val="single" w:sz="4" w:space="0" w:color="auto"/>
              <w:left w:val="nil"/>
              <w:bottom w:val="double" w:sz="6" w:space="0" w:color="auto"/>
              <w:right w:val="nil"/>
            </w:tcBorders>
            <w:noWrap/>
            <w:vAlign w:val="bottom"/>
          </w:tcPr>
          <w:p w14:paraId="4FD82214" w14:textId="21801CA8" w:rsidR="00495609" w:rsidRPr="00F71D68" w:rsidRDefault="00495609" w:rsidP="00A645D2">
            <w:pPr>
              <w:autoSpaceDE/>
              <w:autoSpaceDN/>
              <w:adjustRightInd/>
              <w:jc w:val="right"/>
              <w:rPr>
                <w:color w:val="000000"/>
                <w:sz w:val="20"/>
                <w:szCs w:val="20"/>
              </w:rPr>
            </w:pPr>
            <w:r w:rsidRPr="00F71D68">
              <w:rPr>
                <w:color w:val="000000"/>
                <w:sz w:val="20"/>
                <w:szCs w:val="20"/>
              </w:rPr>
              <w:t>1</w:t>
            </w:r>
            <w:r w:rsidR="00121720">
              <w:rPr>
                <w:color w:val="000000"/>
                <w:sz w:val="20"/>
                <w:szCs w:val="20"/>
              </w:rPr>
              <w:t>5</w:t>
            </w:r>
            <w:r w:rsidRPr="00F71D68">
              <w:rPr>
                <w:color w:val="000000"/>
                <w:sz w:val="20"/>
                <w:szCs w:val="20"/>
              </w:rPr>
              <w:t>,</w:t>
            </w:r>
            <w:r w:rsidR="007F7FF2">
              <w:rPr>
                <w:color w:val="000000"/>
                <w:sz w:val="20"/>
                <w:szCs w:val="20"/>
              </w:rPr>
              <w:t>169</w:t>
            </w:r>
          </w:p>
        </w:tc>
        <w:tc>
          <w:tcPr>
            <w:tcW w:w="1170" w:type="dxa"/>
            <w:tcBorders>
              <w:top w:val="single" w:sz="4" w:space="0" w:color="auto"/>
              <w:left w:val="nil"/>
              <w:bottom w:val="double" w:sz="6" w:space="0" w:color="auto"/>
              <w:right w:val="nil"/>
            </w:tcBorders>
            <w:noWrap/>
            <w:vAlign w:val="bottom"/>
          </w:tcPr>
          <w:p w14:paraId="31A02E3C" w14:textId="76C4A0DE" w:rsidR="00495609" w:rsidRPr="00F71D68" w:rsidRDefault="00495609" w:rsidP="00A645D2">
            <w:pPr>
              <w:autoSpaceDE/>
              <w:autoSpaceDN/>
              <w:adjustRightInd/>
              <w:jc w:val="right"/>
              <w:rPr>
                <w:color w:val="000000"/>
                <w:sz w:val="20"/>
                <w:szCs w:val="20"/>
              </w:rPr>
            </w:pPr>
            <w:r w:rsidRPr="00F71D68">
              <w:rPr>
                <w:color w:val="000000"/>
                <w:sz w:val="20"/>
                <w:szCs w:val="20"/>
              </w:rPr>
              <w:t>$--</w:t>
            </w:r>
          </w:p>
        </w:tc>
        <w:tc>
          <w:tcPr>
            <w:tcW w:w="1260" w:type="dxa"/>
            <w:tcBorders>
              <w:top w:val="single" w:sz="4" w:space="0" w:color="auto"/>
              <w:left w:val="nil"/>
              <w:bottom w:val="double" w:sz="6" w:space="0" w:color="auto"/>
              <w:right w:val="nil"/>
            </w:tcBorders>
            <w:noWrap/>
            <w:vAlign w:val="bottom"/>
          </w:tcPr>
          <w:p w14:paraId="691A8CE2" w14:textId="533F9A67" w:rsidR="00495609" w:rsidRPr="00F71D68" w:rsidRDefault="00495609" w:rsidP="00A645D2">
            <w:pPr>
              <w:autoSpaceDE/>
              <w:autoSpaceDN/>
              <w:adjustRightInd/>
              <w:jc w:val="right"/>
              <w:rPr>
                <w:color w:val="000000"/>
                <w:sz w:val="20"/>
                <w:szCs w:val="20"/>
              </w:rPr>
            </w:pPr>
            <w:r w:rsidRPr="00F71D68">
              <w:rPr>
                <w:color w:val="000000"/>
                <w:sz w:val="20"/>
                <w:szCs w:val="20"/>
              </w:rPr>
              <w:t>$5,612</w:t>
            </w:r>
          </w:p>
        </w:tc>
        <w:tc>
          <w:tcPr>
            <w:tcW w:w="990" w:type="dxa"/>
            <w:tcBorders>
              <w:top w:val="single" w:sz="4" w:space="0" w:color="auto"/>
              <w:left w:val="nil"/>
              <w:bottom w:val="double" w:sz="6" w:space="0" w:color="auto"/>
              <w:right w:val="nil"/>
            </w:tcBorders>
            <w:noWrap/>
            <w:vAlign w:val="bottom"/>
          </w:tcPr>
          <w:p w14:paraId="031BF5F4" w14:textId="76D7091B" w:rsidR="00495609" w:rsidRPr="00F71D68" w:rsidRDefault="00495609" w:rsidP="00A645D2">
            <w:pPr>
              <w:autoSpaceDE/>
              <w:autoSpaceDN/>
              <w:adjustRightInd/>
              <w:jc w:val="right"/>
              <w:rPr>
                <w:color w:val="000000"/>
                <w:sz w:val="20"/>
                <w:szCs w:val="20"/>
              </w:rPr>
            </w:pPr>
            <w:r w:rsidRPr="00F71D68">
              <w:rPr>
                <w:color w:val="000000"/>
                <w:sz w:val="20"/>
                <w:szCs w:val="20"/>
              </w:rPr>
              <w:t>$37</w:t>
            </w:r>
            <w:r w:rsidR="00DB43FA" w:rsidRPr="00F71D68">
              <w:rPr>
                <w:color w:val="000000"/>
                <w:sz w:val="20"/>
                <w:szCs w:val="20"/>
              </w:rPr>
              <w:t>,</w:t>
            </w:r>
            <w:r w:rsidR="00EB100D">
              <w:rPr>
                <w:color w:val="000000"/>
                <w:sz w:val="20"/>
                <w:szCs w:val="20"/>
              </w:rPr>
              <w:t>469</w:t>
            </w:r>
          </w:p>
        </w:tc>
        <w:tc>
          <w:tcPr>
            <w:tcW w:w="1080" w:type="dxa"/>
            <w:tcBorders>
              <w:top w:val="single" w:sz="4" w:space="0" w:color="auto"/>
              <w:left w:val="nil"/>
              <w:bottom w:val="double" w:sz="6" w:space="0" w:color="auto"/>
              <w:right w:val="nil"/>
            </w:tcBorders>
            <w:noWrap/>
            <w:vAlign w:val="bottom"/>
          </w:tcPr>
          <w:p w14:paraId="62B735C1" w14:textId="3FB28D34" w:rsidR="00495609" w:rsidRPr="00F71D68" w:rsidRDefault="0022494C" w:rsidP="00A645D2">
            <w:pPr>
              <w:autoSpaceDE/>
              <w:autoSpaceDN/>
              <w:adjustRightInd/>
              <w:jc w:val="right"/>
              <w:rPr>
                <w:color w:val="000000"/>
                <w:sz w:val="20"/>
                <w:szCs w:val="20"/>
              </w:rPr>
            </w:pPr>
            <w:r>
              <w:rPr>
                <w:color w:val="000000"/>
                <w:sz w:val="20"/>
                <w:szCs w:val="20"/>
              </w:rPr>
              <w:t>$</w:t>
            </w:r>
            <w:r w:rsidR="00495609" w:rsidRPr="00F71D68">
              <w:rPr>
                <w:color w:val="000000"/>
                <w:sz w:val="20"/>
                <w:szCs w:val="20"/>
              </w:rPr>
              <w:t>(1</w:t>
            </w:r>
            <w:r w:rsidR="00121720">
              <w:rPr>
                <w:color w:val="000000"/>
                <w:sz w:val="20"/>
                <w:szCs w:val="20"/>
              </w:rPr>
              <w:t>3</w:t>
            </w:r>
            <w:r w:rsidR="00495609" w:rsidRPr="00F71D68">
              <w:rPr>
                <w:color w:val="000000"/>
                <w:sz w:val="20"/>
                <w:szCs w:val="20"/>
              </w:rPr>
              <w:t>,</w:t>
            </w:r>
            <w:r w:rsidR="007F7FF2">
              <w:rPr>
                <w:color w:val="000000"/>
                <w:sz w:val="20"/>
                <w:szCs w:val="20"/>
              </w:rPr>
              <w:t>979</w:t>
            </w:r>
            <w:r w:rsidR="00495609" w:rsidRPr="00F71D68">
              <w:rPr>
                <w:color w:val="000000"/>
                <w:sz w:val="20"/>
                <w:szCs w:val="20"/>
              </w:rPr>
              <w:t>)</w:t>
            </w:r>
          </w:p>
        </w:tc>
        <w:tc>
          <w:tcPr>
            <w:tcW w:w="990" w:type="dxa"/>
            <w:gridSpan w:val="2"/>
            <w:tcBorders>
              <w:top w:val="single" w:sz="4" w:space="0" w:color="auto"/>
              <w:left w:val="nil"/>
              <w:bottom w:val="double" w:sz="6" w:space="0" w:color="auto"/>
              <w:right w:val="nil"/>
            </w:tcBorders>
            <w:noWrap/>
            <w:vAlign w:val="bottom"/>
          </w:tcPr>
          <w:p w14:paraId="29961C16" w14:textId="4A23BAFE" w:rsidR="00495609" w:rsidRPr="00F71D68" w:rsidRDefault="00495609" w:rsidP="00A645D2">
            <w:pPr>
              <w:autoSpaceDE/>
              <w:autoSpaceDN/>
              <w:adjustRightInd/>
              <w:jc w:val="right"/>
              <w:rPr>
                <w:color w:val="000000"/>
                <w:sz w:val="20"/>
                <w:szCs w:val="20"/>
              </w:rPr>
            </w:pPr>
            <w:r w:rsidRPr="00F71D68">
              <w:rPr>
                <w:color w:val="000000"/>
                <w:sz w:val="20"/>
                <w:szCs w:val="20"/>
              </w:rPr>
              <w:t>$</w:t>
            </w:r>
            <w:r w:rsidR="00121720">
              <w:rPr>
                <w:color w:val="000000"/>
                <w:sz w:val="20"/>
                <w:szCs w:val="20"/>
              </w:rPr>
              <w:t>29</w:t>
            </w:r>
            <w:r w:rsidRPr="00F71D68">
              <w:rPr>
                <w:color w:val="000000"/>
                <w:sz w:val="20"/>
                <w:szCs w:val="20"/>
              </w:rPr>
              <w:t>,</w:t>
            </w:r>
            <w:r w:rsidR="00762C4E">
              <w:rPr>
                <w:color w:val="000000"/>
                <w:sz w:val="20"/>
                <w:szCs w:val="20"/>
              </w:rPr>
              <w:t>0</w:t>
            </w:r>
            <w:r w:rsidR="00EB100D">
              <w:rPr>
                <w:color w:val="000000"/>
                <w:sz w:val="20"/>
                <w:szCs w:val="20"/>
              </w:rPr>
              <w:t>12</w:t>
            </w:r>
          </w:p>
        </w:tc>
      </w:tr>
    </w:tbl>
    <w:p w14:paraId="10EBD2E4" w14:textId="0055F533" w:rsidR="00A645D2" w:rsidRDefault="00A645D2" w:rsidP="00A645D2">
      <w:pPr>
        <w:autoSpaceDE/>
        <w:autoSpaceDN/>
        <w:adjustRightInd/>
        <w:spacing w:line="320" w:lineRule="atLeast"/>
        <w:rPr>
          <w:sz w:val="22"/>
          <w:szCs w:val="22"/>
        </w:rPr>
      </w:pPr>
    </w:p>
    <w:p w14:paraId="4C4A44C3" w14:textId="1050FC81" w:rsidR="00206116" w:rsidRPr="00F71D68" w:rsidRDefault="00206116" w:rsidP="000829E8">
      <w:pPr>
        <w:autoSpaceDE/>
        <w:autoSpaceDN/>
        <w:adjustRightInd/>
        <w:spacing w:line="320" w:lineRule="atLeast"/>
        <w:rPr>
          <w:i/>
          <w:iCs/>
          <w:sz w:val="20"/>
          <w:szCs w:val="20"/>
        </w:rPr>
        <w:sectPr w:rsidR="00206116" w:rsidRPr="00F71D68" w:rsidSect="007633AA">
          <w:headerReference w:type="default" r:id="rId14"/>
          <w:pgSz w:w="12240" w:h="15840" w:code="1"/>
          <w:pgMar w:top="1440" w:right="1440" w:bottom="720" w:left="1440" w:header="936" w:footer="432" w:gutter="0"/>
          <w:pgNumType w:fmt="upperRoman"/>
          <w:cols w:space="720"/>
          <w:docGrid w:linePitch="326"/>
        </w:sectPr>
      </w:pPr>
      <w:r w:rsidRPr="00F71D68">
        <w:rPr>
          <w:i/>
          <w:iCs/>
        </w:rPr>
        <w:t>See notes to consolidated financial statements</w:t>
      </w:r>
    </w:p>
    <w:tbl>
      <w:tblPr>
        <w:tblW w:w="9360" w:type="dxa"/>
        <w:tblLook w:val="04A0" w:firstRow="1" w:lastRow="0" w:firstColumn="1" w:lastColumn="0" w:noHBand="0" w:noVBand="1"/>
      </w:tblPr>
      <w:tblGrid>
        <w:gridCol w:w="6178"/>
        <w:gridCol w:w="1513"/>
        <w:gridCol w:w="281"/>
        <w:gridCol w:w="1388"/>
      </w:tblGrid>
      <w:tr w:rsidR="00206116" w:rsidRPr="004B1A43" w14:paraId="2A310884" w14:textId="77777777" w:rsidTr="00CE5D9B">
        <w:trPr>
          <w:trHeight w:val="117"/>
        </w:trPr>
        <w:tc>
          <w:tcPr>
            <w:tcW w:w="6178" w:type="dxa"/>
            <w:tcBorders>
              <w:top w:val="nil"/>
              <w:left w:val="nil"/>
              <w:bottom w:val="nil"/>
              <w:right w:val="nil"/>
            </w:tcBorders>
            <w:shd w:val="clear" w:color="auto" w:fill="auto"/>
            <w:noWrap/>
            <w:vAlign w:val="bottom"/>
            <w:hideMark/>
          </w:tcPr>
          <w:p w14:paraId="7FD0A7BF" w14:textId="77777777" w:rsidR="00206116" w:rsidRDefault="00206116" w:rsidP="00206116">
            <w:pPr>
              <w:autoSpaceDE/>
              <w:autoSpaceDN/>
              <w:adjustRightInd/>
              <w:jc w:val="both"/>
            </w:pPr>
          </w:p>
          <w:p w14:paraId="255C3BA4" w14:textId="77777777" w:rsidR="00DF1D6C" w:rsidRDefault="00DF1D6C" w:rsidP="00206116">
            <w:pPr>
              <w:autoSpaceDE/>
              <w:autoSpaceDN/>
              <w:adjustRightInd/>
              <w:jc w:val="both"/>
            </w:pPr>
          </w:p>
          <w:p w14:paraId="77448466" w14:textId="77777777" w:rsidR="00DF1D6C" w:rsidRDefault="00DF1D6C" w:rsidP="00206116">
            <w:pPr>
              <w:autoSpaceDE/>
              <w:autoSpaceDN/>
              <w:adjustRightInd/>
              <w:jc w:val="both"/>
            </w:pPr>
          </w:p>
          <w:p w14:paraId="5A428373" w14:textId="77777777" w:rsidR="00DF1D6C" w:rsidRDefault="00DF1D6C" w:rsidP="00206116">
            <w:pPr>
              <w:autoSpaceDE/>
              <w:autoSpaceDN/>
              <w:adjustRightInd/>
              <w:jc w:val="both"/>
            </w:pPr>
          </w:p>
          <w:p w14:paraId="583CB9A4" w14:textId="1A9827FB" w:rsidR="00DF1D6C" w:rsidRPr="004E4B85" w:rsidRDefault="00DF1D6C" w:rsidP="00206116">
            <w:pPr>
              <w:autoSpaceDE/>
              <w:autoSpaceDN/>
              <w:adjustRightInd/>
              <w:jc w:val="both"/>
            </w:pPr>
          </w:p>
        </w:tc>
        <w:tc>
          <w:tcPr>
            <w:tcW w:w="3182" w:type="dxa"/>
            <w:gridSpan w:val="3"/>
            <w:tcBorders>
              <w:top w:val="nil"/>
              <w:left w:val="nil"/>
              <w:bottom w:val="single" w:sz="4" w:space="0" w:color="auto"/>
              <w:right w:val="nil"/>
            </w:tcBorders>
            <w:shd w:val="clear" w:color="auto" w:fill="auto"/>
            <w:noWrap/>
            <w:vAlign w:val="bottom"/>
            <w:hideMark/>
          </w:tcPr>
          <w:p w14:paraId="700765F2" w14:textId="7DF2B49F" w:rsidR="00FC5AA7" w:rsidRPr="00174A1B" w:rsidRDefault="00E831D2" w:rsidP="00206116">
            <w:pPr>
              <w:autoSpaceDE/>
              <w:autoSpaceDN/>
              <w:adjustRightInd/>
              <w:jc w:val="center"/>
            </w:pPr>
            <w:r>
              <w:t>Nine</w:t>
            </w:r>
            <w:r w:rsidR="00CF1156">
              <w:t xml:space="preserve"> </w:t>
            </w:r>
            <w:r w:rsidR="00FC5AA7" w:rsidRPr="00174A1B">
              <w:t xml:space="preserve">Months </w:t>
            </w:r>
            <w:r w:rsidR="00206116" w:rsidRPr="00174A1B">
              <w:t>Ended</w:t>
            </w:r>
          </w:p>
          <w:p w14:paraId="2CAAA963" w14:textId="478E407D" w:rsidR="00206116" w:rsidRPr="00174A1B" w:rsidRDefault="00397DA8" w:rsidP="00206116">
            <w:pPr>
              <w:autoSpaceDE/>
              <w:autoSpaceDN/>
              <w:adjustRightInd/>
              <w:jc w:val="center"/>
            </w:pPr>
            <w:r>
              <w:t>September</w:t>
            </w:r>
            <w:r w:rsidR="00DF0A4D">
              <w:t xml:space="preserve"> 3</w:t>
            </w:r>
            <w:r w:rsidR="00FC19FE">
              <w:t>0</w:t>
            </w:r>
            <w:r w:rsidR="00206116" w:rsidRPr="00174A1B">
              <w:t>,</w:t>
            </w:r>
          </w:p>
        </w:tc>
      </w:tr>
      <w:tr w:rsidR="00206116" w:rsidRPr="004B1A43" w14:paraId="0894A310" w14:textId="77777777" w:rsidTr="00FC19FE">
        <w:trPr>
          <w:trHeight w:val="305"/>
        </w:trPr>
        <w:tc>
          <w:tcPr>
            <w:tcW w:w="6178" w:type="dxa"/>
            <w:tcBorders>
              <w:top w:val="nil"/>
              <w:left w:val="nil"/>
              <w:bottom w:val="nil"/>
              <w:right w:val="nil"/>
            </w:tcBorders>
            <w:shd w:val="clear" w:color="auto" w:fill="auto"/>
            <w:noWrap/>
            <w:vAlign w:val="bottom"/>
            <w:hideMark/>
          </w:tcPr>
          <w:p w14:paraId="362089B8" w14:textId="77777777" w:rsidR="00206116" w:rsidRPr="004E4B85" w:rsidRDefault="00206116" w:rsidP="00206116">
            <w:pPr>
              <w:autoSpaceDE/>
              <w:autoSpaceDN/>
              <w:adjustRightInd/>
              <w:jc w:val="center"/>
            </w:pPr>
          </w:p>
        </w:tc>
        <w:tc>
          <w:tcPr>
            <w:tcW w:w="1513" w:type="dxa"/>
            <w:tcBorders>
              <w:top w:val="nil"/>
              <w:left w:val="nil"/>
              <w:bottom w:val="single" w:sz="4" w:space="0" w:color="auto"/>
              <w:right w:val="nil"/>
            </w:tcBorders>
            <w:shd w:val="clear" w:color="auto" w:fill="auto"/>
            <w:noWrap/>
            <w:vAlign w:val="bottom"/>
            <w:hideMark/>
          </w:tcPr>
          <w:p w14:paraId="1950228D" w14:textId="0EBFB87A" w:rsidR="00206116" w:rsidRPr="00174A1B" w:rsidRDefault="00206116" w:rsidP="00206116">
            <w:pPr>
              <w:autoSpaceDE/>
              <w:autoSpaceDN/>
              <w:adjustRightInd/>
              <w:jc w:val="center"/>
            </w:pPr>
            <w:r w:rsidRPr="00174A1B">
              <w:t>20</w:t>
            </w:r>
            <w:r w:rsidR="00713B1D" w:rsidRPr="00174A1B">
              <w:t>2</w:t>
            </w:r>
            <w:r w:rsidR="00427D9E">
              <w:t>1</w:t>
            </w:r>
          </w:p>
        </w:tc>
        <w:tc>
          <w:tcPr>
            <w:tcW w:w="281" w:type="dxa"/>
            <w:tcBorders>
              <w:top w:val="nil"/>
              <w:left w:val="nil"/>
              <w:bottom w:val="single" w:sz="4" w:space="0" w:color="auto"/>
              <w:right w:val="nil"/>
            </w:tcBorders>
            <w:shd w:val="clear" w:color="auto" w:fill="auto"/>
            <w:noWrap/>
            <w:vAlign w:val="bottom"/>
            <w:hideMark/>
          </w:tcPr>
          <w:p w14:paraId="324A325F" w14:textId="77777777" w:rsidR="00206116" w:rsidRPr="00174A1B" w:rsidRDefault="00206116" w:rsidP="00206116">
            <w:pPr>
              <w:autoSpaceDE/>
              <w:autoSpaceDN/>
              <w:adjustRightInd/>
              <w:jc w:val="center"/>
            </w:pPr>
            <w:r w:rsidRPr="00174A1B">
              <w:t> </w:t>
            </w:r>
          </w:p>
        </w:tc>
        <w:tc>
          <w:tcPr>
            <w:tcW w:w="1388" w:type="dxa"/>
            <w:tcBorders>
              <w:top w:val="nil"/>
              <w:left w:val="nil"/>
              <w:bottom w:val="single" w:sz="4" w:space="0" w:color="auto"/>
              <w:right w:val="nil"/>
            </w:tcBorders>
            <w:shd w:val="clear" w:color="auto" w:fill="auto"/>
            <w:noWrap/>
            <w:vAlign w:val="bottom"/>
            <w:hideMark/>
          </w:tcPr>
          <w:p w14:paraId="637B345C" w14:textId="67A26F49" w:rsidR="00206116" w:rsidRPr="00174A1B" w:rsidRDefault="00206116" w:rsidP="00206116">
            <w:pPr>
              <w:autoSpaceDE/>
              <w:autoSpaceDN/>
              <w:adjustRightInd/>
              <w:jc w:val="center"/>
            </w:pPr>
            <w:r w:rsidRPr="00174A1B">
              <w:t>20</w:t>
            </w:r>
            <w:r w:rsidR="00427D9E">
              <w:t>20</w:t>
            </w:r>
          </w:p>
        </w:tc>
      </w:tr>
      <w:tr w:rsidR="00206116" w:rsidRPr="004B1A43" w14:paraId="40EF5879" w14:textId="77777777" w:rsidTr="00FC19FE">
        <w:trPr>
          <w:trHeight w:val="251"/>
        </w:trPr>
        <w:tc>
          <w:tcPr>
            <w:tcW w:w="6178" w:type="dxa"/>
            <w:tcBorders>
              <w:top w:val="nil"/>
              <w:left w:val="nil"/>
              <w:bottom w:val="nil"/>
              <w:right w:val="nil"/>
            </w:tcBorders>
            <w:shd w:val="clear" w:color="auto" w:fill="auto"/>
            <w:noWrap/>
            <w:vAlign w:val="bottom"/>
            <w:hideMark/>
          </w:tcPr>
          <w:p w14:paraId="49405708" w14:textId="6488EA88" w:rsidR="00206116" w:rsidRPr="004E4B85" w:rsidRDefault="00206116" w:rsidP="00206116">
            <w:pPr>
              <w:autoSpaceDE/>
              <w:autoSpaceDN/>
              <w:adjustRightInd/>
              <w:jc w:val="both"/>
              <w:rPr>
                <w:b/>
                <w:bCs/>
              </w:rPr>
            </w:pPr>
            <w:r w:rsidRPr="004E4B85">
              <w:rPr>
                <w:b/>
                <w:bCs/>
              </w:rPr>
              <w:t xml:space="preserve">Cash Flows </w:t>
            </w:r>
            <w:r w:rsidR="000F3DCE">
              <w:rPr>
                <w:b/>
                <w:bCs/>
              </w:rPr>
              <w:t>F</w:t>
            </w:r>
            <w:r w:rsidR="00B54C53" w:rsidRPr="004E4B85">
              <w:rPr>
                <w:b/>
                <w:bCs/>
              </w:rPr>
              <w:t xml:space="preserve">rom </w:t>
            </w:r>
            <w:r w:rsidR="007D6231">
              <w:rPr>
                <w:b/>
                <w:bCs/>
              </w:rPr>
              <w:t xml:space="preserve">(Used In) </w:t>
            </w:r>
            <w:r w:rsidRPr="004E4B85">
              <w:rPr>
                <w:b/>
                <w:bCs/>
              </w:rPr>
              <w:t>Operating Activities</w:t>
            </w:r>
          </w:p>
        </w:tc>
        <w:tc>
          <w:tcPr>
            <w:tcW w:w="1513" w:type="dxa"/>
            <w:tcBorders>
              <w:top w:val="nil"/>
              <w:left w:val="nil"/>
              <w:bottom w:val="nil"/>
              <w:right w:val="nil"/>
            </w:tcBorders>
            <w:shd w:val="clear" w:color="auto" w:fill="auto"/>
            <w:noWrap/>
            <w:vAlign w:val="bottom"/>
            <w:hideMark/>
          </w:tcPr>
          <w:p w14:paraId="4457ACEA" w14:textId="7E99459F" w:rsidR="00206116" w:rsidRPr="00332BDD" w:rsidRDefault="00206116" w:rsidP="00DB43FA">
            <w:pPr>
              <w:autoSpaceDE/>
              <w:autoSpaceDN/>
              <w:adjustRightInd/>
              <w:jc w:val="right"/>
              <w:rPr>
                <w:b/>
                <w:bCs/>
                <w:highlight w:val="yellow"/>
              </w:rPr>
            </w:pPr>
          </w:p>
        </w:tc>
        <w:tc>
          <w:tcPr>
            <w:tcW w:w="281" w:type="dxa"/>
            <w:tcBorders>
              <w:top w:val="nil"/>
              <w:left w:val="nil"/>
              <w:bottom w:val="nil"/>
              <w:right w:val="nil"/>
            </w:tcBorders>
            <w:shd w:val="clear" w:color="auto" w:fill="auto"/>
            <w:noWrap/>
            <w:vAlign w:val="bottom"/>
            <w:hideMark/>
          </w:tcPr>
          <w:p w14:paraId="72917322" w14:textId="77777777" w:rsidR="00206116" w:rsidRPr="00332BDD" w:rsidRDefault="00206116" w:rsidP="00DB43FA">
            <w:pPr>
              <w:autoSpaceDE/>
              <w:autoSpaceDN/>
              <w:adjustRightInd/>
              <w:jc w:val="right"/>
              <w:rPr>
                <w:highlight w:val="yellow"/>
              </w:rPr>
            </w:pPr>
          </w:p>
        </w:tc>
        <w:tc>
          <w:tcPr>
            <w:tcW w:w="1388" w:type="dxa"/>
            <w:tcBorders>
              <w:top w:val="nil"/>
              <w:left w:val="nil"/>
              <w:bottom w:val="nil"/>
              <w:right w:val="nil"/>
            </w:tcBorders>
            <w:shd w:val="clear" w:color="auto" w:fill="auto"/>
            <w:noWrap/>
            <w:vAlign w:val="bottom"/>
            <w:hideMark/>
          </w:tcPr>
          <w:p w14:paraId="50FACF4B" w14:textId="77777777" w:rsidR="00206116" w:rsidRPr="00332BDD" w:rsidRDefault="00206116" w:rsidP="00DB43FA">
            <w:pPr>
              <w:autoSpaceDE/>
              <w:autoSpaceDN/>
              <w:adjustRightInd/>
              <w:jc w:val="right"/>
              <w:rPr>
                <w:highlight w:val="yellow"/>
              </w:rPr>
            </w:pPr>
          </w:p>
        </w:tc>
      </w:tr>
      <w:tr w:rsidR="00FC19FE" w:rsidRPr="004B1A43" w14:paraId="72F1E168" w14:textId="77777777" w:rsidTr="00FC19FE">
        <w:trPr>
          <w:trHeight w:val="219"/>
        </w:trPr>
        <w:tc>
          <w:tcPr>
            <w:tcW w:w="6178" w:type="dxa"/>
            <w:tcBorders>
              <w:top w:val="nil"/>
              <w:left w:val="nil"/>
              <w:bottom w:val="nil"/>
              <w:right w:val="nil"/>
            </w:tcBorders>
            <w:shd w:val="clear" w:color="auto" w:fill="auto"/>
            <w:hideMark/>
          </w:tcPr>
          <w:p w14:paraId="3921E6D6" w14:textId="321828CF" w:rsidR="00FC19FE" w:rsidRPr="004E4B85" w:rsidRDefault="00FC19FE" w:rsidP="00FC19FE">
            <w:pPr>
              <w:autoSpaceDE/>
              <w:autoSpaceDN/>
              <w:adjustRightInd/>
              <w:jc w:val="both"/>
            </w:pPr>
            <w:r w:rsidRPr="004E4B85">
              <w:t xml:space="preserve">Net income (loss) </w:t>
            </w:r>
          </w:p>
        </w:tc>
        <w:tc>
          <w:tcPr>
            <w:tcW w:w="1513" w:type="dxa"/>
            <w:tcBorders>
              <w:top w:val="nil"/>
              <w:left w:val="nil"/>
              <w:bottom w:val="nil"/>
              <w:right w:val="nil"/>
            </w:tcBorders>
            <w:shd w:val="clear" w:color="auto" w:fill="auto"/>
            <w:noWrap/>
            <w:vAlign w:val="bottom"/>
          </w:tcPr>
          <w:p w14:paraId="64A16127" w14:textId="32A2B531" w:rsidR="00FC19FE" w:rsidRPr="00762641" w:rsidRDefault="00095A24" w:rsidP="00FC19FE">
            <w:pPr>
              <w:autoSpaceDE/>
              <w:autoSpaceDN/>
              <w:adjustRightInd/>
              <w:jc w:val="right"/>
            </w:pPr>
            <w:r>
              <w:t>$</w:t>
            </w:r>
            <w:r w:rsidR="00D12873">
              <w:t>(</w:t>
            </w:r>
            <w:r w:rsidR="00EB100D">
              <w:t>96</w:t>
            </w:r>
            <w:r w:rsidR="00D12873">
              <w:t>)</w:t>
            </w:r>
          </w:p>
        </w:tc>
        <w:tc>
          <w:tcPr>
            <w:tcW w:w="281" w:type="dxa"/>
            <w:tcBorders>
              <w:top w:val="nil"/>
              <w:left w:val="nil"/>
              <w:bottom w:val="nil"/>
              <w:right w:val="nil"/>
            </w:tcBorders>
            <w:shd w:val="clear" w:color="auto" w:fill="auto"/>
            <w:noWrap/>
            <w:vAlign w:val="bottom"/>
          </w:tcPr>
          <w:p w14:paraId="1E1904F7" w14:textId="77777777" w:rsidR="00FC19FE" w:rsidRPr="00762641" w:rsidRDefault="00FC19FE" w:rsidP="00FC19FE">
            <w:pPr>
              <w:autoSpaceDE/>
              <w:autoSpaceDN/>
              <w:adjustRightInd/>
              <w:jc w:val="right"/>
            </w:pPr>
          </w:p>
        </w:tc>
        <w:tc>
          <w:tcPr>
            <w:tcW w:w="1388" w:type="dxa"/>
            <w:tcBorders>
              <w:top w:val="nil"/>
              <w:left w:val="nil"/>
              <w:bottom w:val="nil"/>
              <w:right w:val="nil"/>
            </w:tcBorders>
            <w:shd w:val="clear" w:color="auto" w:fill="auto"/>
            <w:noWrap/>
            <w:vAlign w:val="bottom"/>
          </w:tcPr>
          <w:p w14:paraId="40E02B82" w14:textId="5F02FC9D" w:rsidR="00FC19FE" w:rsidRPr="00762641" w:rsidRDefault="0022494C" w:rsidP="00FC19FE">
            <w:pPr>
              <w:autoSpaceDE/>
              <w:autoSpaceDN/>
              <w:adjustRightInd/>
              <w:jc w:val="right"/>
            </w:pPr>
            <w:r>
              <w:t>$</w:t>
            </w:r>
            <w:r w:rsidR="00FC19FE">
              <w:t>(</w:t>
            </w:r>
            <w:r w:rsidR="002E16A4">
              <w:t>130</w:t>
            </w:r>
            <w:r w:rsidR="00FC19FE">
              <w:t>)</w:t>
            </w:r>
          </w:p>
        </w:tc>
      </w:tr>
      <w:tr w:rsidR="00FC19FE" w:rsidRPr="004B1A43" w14:paraId="57E4CAEF" w14:textId="77777777" w:rsidTr="00FC19FE">
        <w:trPr>
          <w:trHeight w:val="219"/>
        </w:trPr>
        <w:tc>
          <w:tcPr>
            <w:tcW w:w="6178" w:type="dxa"/>
            <w:tcBorders>
              <w:top w:val="nil"/>
              <w:left w:val="nil"/>
              <w:bottom w:val="nil"/>
              <w:right w:val="nil"/>
            </w:tcBorders>
            <w:shd w:val="clear" w:color="auto" w:fill="auto"/>
            <w:noWrap/>
            <w:vAlign w:val="bottom"/>
            <w:hideMark/>
          </w:tcPr>
          <w:p w14:paraId="3B9090DC" w14:textId="47ADF7D2" w:rsidR="00FC19FE" w:rsidRPr="004E4B85" w:rsidRDefault="00FC19FE" w:rsidP="00FC19FE">
            <w:pPr>
              <w:autoSpaceDE/>
              <w:autoSpaceDN/>
              <w:adjustRightInd/>
              <w:jc w:val="both"/>
            </w:pPr>
            <w:r w:rsidRPr="004E4B85">
              <w:t>Adjustments to reconcile net income</w:t>
            </w:r>
            <w:r>
              <w:t xml:space="preserve"> (loss)</w:t>
            </w:r>
            <w:r w:rsidRPr="004E4B85">
              <w:t xml:space="preserve"> to net</w:t>
            </w:r>
          </w:p>
        </w:tc>
        <w:tc>
          <w:tcPr>
            <w:tcW w:w="1513" w:type="dxa"/>
            <w:tcBorders>
              <w:top w:val="nil"/>
              <w:left w:val="nil"/>
              <w:bottom w:val="nil"/>
              <w:right w:val="nil"/>
            </w:tcBorders>
            <w:shd w:val="clear" w:color="auto" w:fill="auto"/>
            <w:noWrap/>
            <w:vAlign w:val="center"/>
          </w:tcPr>
          <w:p w14:paraId="34120F7B" w14:textId="77777777" w:rsidR="00FC19FE" w:rsidRPr="00762641" w:rsidRDefault="00FC19FE" w:rsidP="00FC19FE">
            <w:pPr>
              <w:autoSpaceDE/>
              <w:autoSpaceDN/>
              <w:adjustRightInd/>
              <w:jc w:val="right"/>
            </w:pPr>
          </w:p>
        </w:tc>
        <w:tc>
          <w:tcPr>
            <w:tcW w:w="281" w:type="dxa"/>
            <w:tcBorders>
              <w:top w:val="nil"/>
              <w:left w:val="nil"/>
              <w:bottom w:val="nil"/>
              <w:right w:val="nil"/>
            </w:tcBorders>
            <w:shd w:val="clear" w:color="auto" w:fill="auto"/>
            <w:noWrap/>
            <w:vAlign w:val="bottom"/>
          </w:tcPr>
          <w:p w14:paraId="33E8A711" w14:textId="77777777" w:rsidR="00FC19FE" w:rsidRPr="00762641" w:rsidRDefault="00FC19FE" w:rsidP="00FC19FE">
            <w:pPr>
              <w:autoSpaceDE/>
              <w:autoSpaceDN/>
              <w:adjustRightInd/>
              <w:jc w:val="right"/>
            </w:pPr>
          </w:p>
        </w:tc>
        <w:tc>
          <w:tcPr>
            <w:tcW w:w="1388" w:type="dxa"/>
            <w:tcBorders>
              <w:top w:val="nil"/>
              <w:left w:val="nil"/>
              <w:bottom w:val="nil"/>
              <w:right w:val="nil"/>
            </w:tcBorders>
            <w:shd w:val="clear" w:color="auto" w:fill="auto"/>
            <w:noWrap/>
            <w:vAlign w:val="center"/>
          </w:tcPr>
          <w:p w14:paraId="7F5E18A7" w14:textId="77777777" w:rsidR="00FC19FE" w:rsidRPr="00762641" w:rsidRDefault="00FC19FE" w:rsidP="00FC19FE">
            <w:pPr>
              <w:autoSpaceDE/>
              <w:autoSpaceDN/>
              <w:adjustRightInd/>
              <w:jc w:val="right"/>
            </w:pPr>
          </w:p>
        </w:tc>
      </w:tr>
      <w:tr w:rsidR="00FC19FE" w:rsidRPr="004B1A43" w14:paraId="77BB552B" w14:textId="77777777" w:rsidTr="00FC19FE">
        <w:trPr>
          <w:trHeight w:val="219"/>
        </w:trPr>
        <w:tc>
          <w:tcPr>
            <w:tcW w:w="6178" w:type="dxa"/>
            <w:tcBorders>
              <w:top w:val="nil"/>
              <w:left w:val="nil"/>
              <w:bottom w:val="nil"/>
              <w:right w:val="nil"/>
            </w:tcBorders>
            <w:shd w:val="clear" w:color="auto" w:fill="auto"/>
            <w:noWrap/>
            <w:vAlign w:val="bottom"/>
            <w:hideMark/>
          </w:tcPr>
          <w:p w14:paraId="7F4A0DDC" w14:textId="53941F9F" w:rsidR="00FC19FE" w:rsidRPr="004E4B85" w:rsidRDefault="00DD6530" w:rsidP="00FC19FE">
            <w:pPr>
              <w:autoSpaceDE/>
              <w:autoSpaceDN/>
              <w:adjustRightInd/>
              <w:ind w:left="144"/>
              <w:jc w:val="both"/>
            </w:pPr>
            <w:r>
              <w:t>C</w:t>
            </w:r>
            <w:r w:rsidR="00FC19FE" w:rsidRPr="004E4B85">
              <w:t>ash from operating activities</w:t>
            </w:r>
            <w:r w:rsidR="00B718D3">
              <w:t>:</w:t>
            </w:r>
          </w:p>
        </w:tc>
        <w:tc>
          <w:tcPr>
            <w:tcW w:w="1513" w:type="dxa"/>
            <w:tcBorders>
              <w:top w:val="nil"/>
              <w:left w:val="nil"/>
              <w:bottom w:val="nil"/>
              <w:right w:val="nil"/>
            </w:tcBorders>
            <w:shd w:val="clear" w:color="auto" w:fill="auto"/>
            <w:noWrap/>
            <w:vAlign w:val="center"/>
          </w:tcPr>
          <w:p w14:paraId="5702A55C" w14:textId="77777777" w:rsidR="00FC19FE" w:rsidRPr="009E43D8" w:rsidRDefault="00FC19FE" w:rsidP="00FC19FE">
            <w:pPr>
              <w:autoSpaceDE/>
              <w:autoSpaceDN/>
              <w:adjustRightInd/>
              <w:ind w:firstLineChars="100" w:firstLine="240"/>
              <w:jc w:val="right"/>
              <w:rPr>
                <w:highlight w:val="yellow"/>
              </w:rPr>
            </w:pPr>
          </w:p>
        </w:tc>
        <w:tc>
          <w:tcPr>
            <w:tcW w:w="281" w:type="dxa"/>
            <w:tcBorders>
              <w:top w:val="nil"/>
              <w:left w:val="nil"/>
              <w:bottom w:val="nil"/>
              <w:right w:val="nil"/>
            </w:tcBorders>
            <w:shd w:val="clear" w:color="auto" w:fill="auto"/>
            <w:noWrap/>
            <w:vAlign w:val="bottom"/>
          </w:tcPr>
          <w:p w14:paraId="1B8E9EC1" w14:textId="77777777" w:rsidR="00FC19FE" w:rsidRPr="00762641" w:rsidRDefault="00FC19FE" w:rsidP="00FC19FE">
            <w:pPr>
              <w:autoSpaceDE/>
              <w:autoSpaceDN/>
              <w:adjustRightInd/>
              <w:jc w:val="right"/>
            </w:pPr>
          </w:p>
        </w:tc>
        <w:tc>
          <w:tcPr>
            <w:tcW w:w="1388" w:type="dxa"/>
            <w:tcBorders>
              <w:top w:val="nil"/>
              <w:left w:val="nil"/>
              <w:bottom w:val="nil"/>
              <w:right w:val="nil"/>
            </w:tcBorders>
            <w:shd w:val="clear" w:color="auto" w:fill="auto"/>
            <w:noWrap/>
            <w:vAlign w:val="center"/>
          </w:tcPr>
          <w:p w14:paraId="496D0DE8" w14:textId="77777777" w:rsidR="00FC19FE" w:rsidRPr="00762641" w:rsidRDefault="00FC19FE" w:rsidP="00FC19FE">
            <w:pPr>
              <w:autoSpaceDE/>
              <w:autoSpaceDN/>
              <w:adjustRightInd/>
              <w:ind w:firstLineChars="100" w:firstLine="240"/>
              <w:jc w:val="right"/>
            </w:pPr>
          </w:p>
        </w:tc>
      </w:tr>
      <w:tr w:rsidR="00FC19FE" w:rsidRPr="004B1A43" w14:paraId="5BCF0B65" w14:textId="77777777" w:rsidTr="00FC19FE">
        <w:trPr>
          <w:trHeight w:val="219"/>
        </w:trPr>
        <w:tc>
          <w:tcPr>
            <w:tcW w:w="6178" w:type="dxa"/>
            <w:tcBorders>
              <w:top w:val="nil"/>
              <w:left w:val="nil"/>
              <w:bottom w:val="nil"/>
              <w:right w:val="nil"/>
            </w:tcBorders>
            <w:shd w:val="clear" w:color="auto" w:fill="auto"/>
            <w:noWrap/>
            <w:vAlign w:val="bottom"/>
          </w:tcPr>
          <w:p w14:paraId="16892F04" w14:textId="60871C20" w:rsidR="00FC19FE" w:rsidRPr="004E4B85" w:rsidRDefault="00FC19FE" w:rsidP="00FC19FE">
            <w:pPr>
              <w:autoSpaceDE/>
              <w:autoSpaceDN/>
              <w:adjustRightInd/>
              <w:ind w:left="144"/>
              <w:jc w:val="both"/>
            </w:pPr>
            <w:r>
              <w:t>Depreciation and amortization</w:t>
            </w:r>
          </w:p>
        </w:tc>
        <w:tc>
          <w:tcPr>
            <w:tcW w:w="1513" w:type="dxa"/>
            <w:tcBorders>
              <w:top w:val="nil"/>
              <w:left w:val="nil"/>
              <w:bottom w:val="nil"/>
              <w:right w:val="nil"/>
            </w:tcBorders>
            <w:shd w:val="clear" w:color="auto" w:fill="auto"/>
            <w:noWrap/>
            <w:vAlign w:val="center"/>
          </w:tcPr>
          <w:p w14:paraId="27DD779C" w14:textId="3B92C040" w:rsidR="00FC19FE" w:rsidRPr="00EB100D" w:rsidRDefault="0025072E" w:rsidP="00FC19FE">
            <w:pPr>
              <w:autoSpaceDE/>
              <w:autoSpaceDN/>
              <w:adjustRightInd/>
              <w:ind w:firstLineChars="100" w:firstLine="240"/>
              <w:jc w:val="right"/>
            </w:pPr>
            <w:r w:rsidRPr="00EB100D">
              <w:t>1</w:t>
            </w:r>
            <w:r w:rsidR="002E16A4" w:rsidRPr="00EB100D">
              <w:t>94</w:t>
            </w:r>
          </w:p>
        </w:tc>
        <w:tc>
          <w:tcPr>
            <w:tcW w:w="281" w:type="dxa"/>
            <w:tcBorders>
              <w:top w:val="nil"/>
              <w:left w:val="nil"/>
              <w:bottom w:val="nil"/>
              <w:right w:val="nil"/>
            </w:tcBorders>
            <w:shd w:val="clear" w:color="auto" w:fill="auto"/>
            <w:noWrap/>
            <w:vAlign w:val="bottom"/>
          </w:tcPr>
          <w:p w14:paraId="76425643" w14:textId="77777777" w:rsidR="00FC19FE" w:rsidRPr="00EB100D" w:rsidRDefault="00FC19FE" w:rsidP="00FC19FE">
            <w:pPr>
              <w:autoSpaceDE/>
              <w:autoSpaceDN/>
              <w:adjustRightInd/>
              <w:jc w:val="right"/>
            </w:pPr>
          </w:p>
        </w:tc>
        <w:tc>
          <w:tcPr>
            <w:tcW w:w="1388" w:type="dxa"/>
            <w:tcBorders>
              <w:top w:val="nil"/>
              <w:left w:val="nil"/>
              <w:bottom w:val="nil"/>
              <w:right w:val="nil"/>
            </w:tcBorders>
            <w:shd w:val="clear" w:color="auto" w:fill="auto"/>
            <w:noWrap/>
            <w:vAlign w:val="center"/>
          </w:tcPr>
          <w:p w14:paraId="69F44A30" w14:textId="46F97460" w:rsidR="00FC19FE" w:rsidRPr="00762641" w:rsidRDefault="00FC19FE" w:rsidP="00FC19FE">
            <w:pPr>
              <w:autoSpaceDE/>
              <w:autoSpaceDN/>
              <w:adjustRightInd/>
              <w:ind w:firstLineChars="100" w:firstLine="240"/>
              <w:jc w:val="right"/>
            </w:pPr>
            <w:r>
              <w:t>1</w:t>
            </w:r>
            <w:r w:rsidR="002E16A4">
              <w:t>92</w:t>
            </w:r>
          </w:p>
        </w:tc>
      </w:tr>
      <w:tr w:rsidR="00FC19FE" w:rsidRPr="004B1A43" w14:paraId="05759537" w14:textId="77777777" w:rsidTr="00FC19FE">
        <w:trPr>
          <w:trHeight w:val="219"/>
        </w:trPr>
        <w:tc>
          <w:tcPr>
            <w:tcW w:w="6178" w:type="dxa"/>
            <w:tcBorders>
              <w:top w:val="nil"/>
              <w:left w:val="nil"/>
              <w:bottom w:val="nil"/>
              <w:right w:val="nil"/>
            </w:tcBorders>
            <w:shd w:val="clear" w:color="auto" w:fill="auto"/>
            <w:noWrap/>
            <w:vAlign w:val="bottom"/>
            <w:hideMark/>
          </w:tcPr>
          <w:p w14:paraId="68BF554B" w14:textId="0C92063B" w:rsidR="00FC19FE" w:rsidRPr="004E4B85" w:rsidRDefault="000B0E26" w:rsidP="00FC19FE">
            <w:pPr>
              <w:autoSpaceDE/>
              <w:autoSpaceDN/>
              <w:adjustRightInd/>
              <w:ind w:left="144"/>
              <w:jc w:val="both"/>
            </w:pPr>
            <w:r>
              <w:t>Investment Income</w:t>
            </w:r>
          </w:p>
        </w:tc>
        <w:tc>
          <w:tcPr>
            <w:tcW w:w="1513" w:type="dxa"/>
            <w:tcBorders>
              <w:top w:val="nil"/>
              <w:left w:val="nil"/>
              <w:bottom w:val="nil"/>
              <w:right w:val="nil"/>
            </w:tcBorders>
            <w:shd w:val="clear" w:color="auto" w:fill="auto"/>
            <w:noWrap/>
            <w:vAlign w:val="center"/>
          </w:tcPr>
          <w:p w14:paraId="0F38160F" w14:textId="46522C84" w:rsidR="00FC19FE" w:rsidRPr="00EB100D" w:rsidRDefault="0025072E" w:rsidP="00FC19FE">
            <w:pPr>
              <w:autoSpaceDE/>
              <w:autoSpaceDN/>
              <w:adjustRightInd/>
              <w:jc w:val="right"/>
            </w:pPr>
            <w:r w:rsidRPr="00EB100D">
              <w:t>(</w:t>
            </w:r>
            <w:r w:rsidR="00EB100D" w:rsidRPr="00EB100D">
              <w:t>106)</w:t>
            </w:r>
          </w:p>
        </w:tc>
        <w:tc>
          <w:tcPr>
            <w:tcW w:w="281" w:type="dxa"/>
            <w:tcBorders>
              <w:top w:val="nil"/>
              <w:left w:val="nil"/>
              <w:bottom w:val="nil"/>
              <w:right w:val="nil"/>
            </w:tcBorders>
            <w:shd w:val="clear" w:color="auto" w:fill="auto"/>
            <w:noWrap/>
            <w:vAlign w:val="bottom"/>
          </w:tcPr>
          <w:p w14:paraId="75B301EE" w14:textId="77777777" w:rsidR="00FC19FE" w:rsidRPr="00EB100D" w:rsidRDefault="00FC19FE" w:rsidP="00FC19FE">
            <w:pPr>
              <w:autoSpaceDE/>
              <w:autoSpaceDN/>
              <w:adjustRightInd/>
              <w:jc w:val="right"/>
            </w:pPr>
          </w:p>
        </w:tc>
        <w:tc>
          <w:tcPr>
            <w:tcW w:w="1388" w:type="dxa"/>
            <w:tcBorders>
              <w:top w:val="nil"/>
              <w:left w:val="nil"/>
              <w:bottom w:val="nil"/>
              <w:right w:val="nil"/>
            </w:tcBorders>
            <w:shd w:val="clear" w:color="auto" w:fill="auto"/>
            <w:noWrap/>
            <w:vAlign w:val="center"/>
          </w:tcPr>
          <w:p w14:paraId="6F5E0869" w14:textId="5D7334B6" w:rsidR="00FC19FE" w:rsidRPr="00762641" w:rsidRDefault="002E16A4" w:rsidP="00FC19FE">
            <w:pPr>
              <w:autoSpaceDE/>
              <w:autoSpaceDN/>
              <w:adjustRightInd/>
              <w:jc w:val="right"/>
            </w:pPr>
            <w:r>
              <w:t>47</w:t>
            </w:r>
          </w:p>
        </w:tc>
      </w:tr>
      <w:tr w:rsidR="00FC19FE" w:rsidRPr="004B1A43" w14:paraId="17C8E5B5" w14:textId="77777777" w:rsidTr="00FC19FE">
        <w:trPr>
          <w:trHeight w:val="219"/>
        </w:trPr>
        <w:tc>
          <w:tcPr>
            <w:tcW w:w="6178" w:type="dxa"/>
            <w:tcBorders>
              <w:top w:val="nil"/>
              <w:left w:val="nil"/>
              <w:bottom w:val="nil"/>
              <w:right w:val="nil"/>
            </w:tcBorders>
            <w:shd w:val="clear" w:color="auto" w:fill="auto"/>
            <w:noWrap/>
            <w:vAlign w:val="bottom"/>
            <w:hideMark/>
          </w:tcPr>
          <w:p w14:paraId="0B0C2A0F" w14:textId="77777777" w:rsidR="00FC19FE" w:rsidRPr="004E4B85" w:rsidRDefault="00FC19FE" w:rsidP="00FC19FE">
            <w:pPr>
              <w:autoSpaceDE/>
              <w:autoSpaceDN/>
              <w:adjustRightInd/>
              <w:ind w:left="144"/>
              <w:jc w:val="both"/>
            </w:pPr>
            <w:r w:rsidRPr="004E4B85">
              <w:t>Deferred income taxes</w:t>
            </w:r>
          </w:p>
        </w:tc>
        <w:tc>
          <w:tcPr>
            <w:tcW w:w="1513" w:type="dxa"/>
            <w:tcBorders>
              <w:top w:val="nil"/>
              <w:left w:val="nil"/>
              <w:bottom w:val="nil"/>
              <w:right w:val="nil"/>
            </w:tcBorders>
            <w:shd w:val="clear" w:color="auto" w:fill="auto"/>
            <w:noWrap/>
            <w:vAlign w:val="center"/>
          </w:tcPr>
          <w:p w14:paraId="6CB626B0" w14:textId="4B338A8E" w:rsidR="00FC19FE" w:rsidRPr="00EB100D" w:rsidRDefault="0025072E" w:rsidP="00FC19FE">
            <w:pPr>
              <w:autoSpaceDE/>
              <w:autoSpaceDN/>
              <w:adjustRightInd/>
              <w:jc w:val="right"/>
            </w:pPr>
            <w:r w:rsidRPr="00EB100D">
              <w:t>(</w:t>
            </w:r>
            <w:r w:rsidR="00EB100D" w:rsidRPr="00EB100D">
              <w:t>61</w:t>
            </w:r>
            <w:r w:rsidRPr="00EB100D">
              <w:t>)</w:t>
            </w:r>
          </w:p>
        </w:tc>
        <w:tc>
          <w:tcPr>
            <w:tcW w:w="281" w:type="dxa"/>
            <w:tcBorders>
              <w:top w:val="nil"/>
              <w:left w:val="nil"/>
              <w:bottom w:val="nil"/>
              <w:right w:val="nil"/>
            </w:tcBorders>
            <w:shd w:val="clear" w:color="auto" w:fill="auto"/>
            <w:noWrap/>
            <w:vAlign w:val="bottom"/>
          </w:tcPr>
          <w:p w14:paraId="22F71258" w14:textId="77777777" w:rsidR="00FC19FE" w:rsidRPr="00EB100D" w:rsidRDefault="00FC19FE" w:rsidP="00FC19FE">
            <w:pPr>
              <w:autoSpaceDE/>
              <w:autoSpaceDN/>
              <w:adjustRightInd/>
              <w:jc w:val="right"/>
            </w:pPr>
          </w:p>
        </w:tc>
        <w:tc>
          <w:tcPr>
            <w:tcW w:w="1388" w:type="dxa"/>
            <w:tcBorders>
              <w:top w:val="nil"/>
              <w:left w:val="nil"/>
              <w:bottom w:val="nil"/>
              <w:right w:val="nil"/>
            </w:tcBorders>
            <w:shd w:val="clear" w:color="auto" w:fill="auto"/>
            <w:noWrap/>
            <w:vAlign w:val="center"/>
          </w:tcPr>
          <w:p w14:paraId="7B877CBA" w14:textId="16059FD3" w:rsidR="00FC19FE" w:rsidRPr="00762641" w:rsidRDefault="00FC19FE" w:rsidP="00FC19FE">
            <w:pPr>
              <w:autoSpaceDE/>
              <w:autoSpaceDN/>
              <w:adjustRightInd/>
              <w:jc w:val="right"/>
            </w:pPr>
            <w:r w:rsidRPr="004E4B85">
              <w:t>--</w:t>
            </w:r>
          </w:p>
        </w:tc>
      </w:tr>
      <w:tr w:rsidR="00FC19FE" w:rsidRPr="004B1A43" w14:paraId="649E89DE" w14:textId="77777777" w:rsidTr="00FC19FE">
        <w:trPr>
          <w:trHeight w:val="219"/>
        </w:trPr>
        <w:tc>
          <w:tcPr>
            <w:tcW w:w="6178" w:type="dxa"/>
            <w:tcBorders>
              <w:top w:val="nil"/>
              <w:left w:val="nil"/>
              <w:bottom w:val="nil"/>
              <w:right w:val="nil"/>
            </w:tcBorders>
            <w:shd w:val="clear" w:color="auto" w:fill="auto"/>
            <w:noWrap/>
            <w:vAlign w:val="bottom"/>
            <w:hideMark/>
          </w:tcPr>
          <w:p w14:paraId="566C2B84" w14:textId="77777777" w:rsidR="00FC19FE" w:rsidRPr="004E4B85" w:rsidRDefault="00FC19FE" w:rsidP="00FC19FE">
            <w:pPr>
              <w:autoSpaceDE/>
              <w:autoSpaceDN/>
              <w:adjustRightInd/>
              <w:ind w:left="144"/>
              <w:jc w:val="both"/>
            </w:pPr>
            <w:r w:rsidRPr="004E4B85">
              <w:t>Changes in operating assets and liabilities</w:t>
            </w:r>
          </w:p>
        </w:tc>
        <w:tc>
          <w:tcPr>
            <w:tcW w:w="1513" w:type="dxa"/>
            <w:tcBorders>
              <w:top w:val="nil"/>
              <w:left w:val="nil"/>
              <w:bottom w:val="nil"/>
              <w:right w:val="nil"/>
            </w:tcBorders>
            <w:shd w:val="clear" w:color="auto" w:fill="auto"/>
            <w:noWrap/>
            <w:vAlign w:val="center"/>
          </w:tcPr>
          <w:p w14:paraId="0ECE594C" w14:textId="77777777" w:rsidR="00FC19FE" w:rsidRPr="00EB100D" w:rsidRDefault="00FC19FE" w:rsidP="00FC19FE">
            <w:pPr>
              <w:autoSpaceDE/>
              <w:autoSpaceDN/>
              <w:adjustRightInd/>
              <w:ind w:firstLineChars="100" w:firstLine="240"/>
              <w:jc w:val="right"/>
            </w:pPr>
          </w:p>
        </w:tc>
        <w:tc>
          <w:tcPr>
            <w:tcW w:w="281" w:type="dxa"/>
            <w:tcBorders>
              <w:top w:val="nil"/>
              <w:left w:val="nil"/>
              <w:bottom w:val="nil"/>
              <w:right w:val="nil"/>
            </w:tcBorders>
            <w:shd w:val="clear" w:color="auto" w:fill="auto"/>
            <w:noWrap/>
            <w:vAlign w:val="bottom"/>
          </w:tcPr>
          <w:p w14:paraId="1D447321" w14:textId="77777777" w:rsidR="00FC19FE" w:rsidRPr="00EB100D" w:rsidRDefault="00FC19FE" w:rsidP="00FC19FE">
            <w:pPr>
              <w:autoSpaceDE/>
              <w:autoSpaceDN/>
              <w:adjustRightInd/>
              <w:jc w:val="right"/>
            </w:pPr>
          </w:p>
        </w:tc>
        <w:tc>
          <w:tcPr>
            <w:tcW w:w="1388" w:type="dxa"/>
            <w:tcBorders>
              <w:top w:val="nil"/>
              <w:left w:val="nil"/>
              <w:bottom w:val="nil"/>
              <w:right w:val="nil"/>
            </w:tcBorders>
            <w:shd w:val="clear" w:color="auto" w:fill="auto"/>
            <w:noWrap/>
            <w:vAlign w:val="center"/>
          </w:tcPr>
          <w:p w14:paraId="66018D81" w14:textId="1B38229A" w:rsidR="00FC19FE" w:rsidRPr="00762641" w:rsidRDefault="00FC19FE" w:rsidP="00FC19FE">
            <w:pPr>
              <w:autoSpaceDE/>
              <w:autoSpaceDN/>
              <w:adjustRightInd/>
              <w:ind w:firstLineChars="100" w:firstLine="240"/>
              <w:jc w:val="right"/>
            </w:pPr>
          </w:p>
        </w:tc>
      </w:tr>
      <w:tr w:rsidR="00FC19FE" w:rsidRPr="004B1A43" w14:paraId="5840DB47" w14:textId="77777777" w:rsidTr="00FC19FE">
        <w:trPr>
          <w:trHeight w:val="219"/>
        </w:trPr>
        <w:tc>
          <w:tcPr>
            <w:tcW w:w="6178" w:type="dxa"/>
            <w:tcBorders>
              <w:top w:val="nil"/>
              <w:left w:val="nil"/>
              <w:bottom w:val="nil"/>
              <w:right w:val="nil"/>
            </w:tcBorders>
            <w:shd w:val="clear" w:color="auto" w:fill="auto"/>
            <w:noWrap/>
            <w:vAlign w:val="bottom"/>
          </w:tcPr>
          <w:p w14:paraId="08DE1B15" w14:textId="65235BAF" w:rsidR="00FC19FE" w:rsidRPr="004E4B85" w:rsidRDefault="00FC19FE" w:rsidP="00FC19FE">
            <w:pPr>
              <w:autoSpaceDE/>
              <w:autoSpaceDN/>
              <w:adjustRightInd/>
              <w:ind w:left="288"/>
              <w:jc w:val="both"/>
            </w:pPr>
            <w:r>
              <w:t xml:space="preserve">Accounts receivable </w:t>
            </w:r>
          </w:p>
        </w:tc>
        <w:tc>
          <w:tcPr>
            <w:tcW w:w="1513" w:type="dxa"/>
            <w:tcBorders>
              <w:top w:val="nil"/>
              <w:left w:val="nil"/>
              <w:bottom w:val="nil"/>
              <w:right w:val="nil"/>
            </w:tcBorders>
            <w:shd w:val="clear" w:color="auto" w:fill="auto"/>
            <w:noWrap/>
            <w:vAlign w:val="center"/>
          </w:tcPr>
          <w:p w14:paraId="4BC19BF7" w14:textId="18BF1BDF" w:rsidR="00FC19FE" w:rsidRPr="00EB100D" w:rsidRDefault="0025072E" w:rsidP="00FC19FE">
            <w:pPr>
              <w:autoSpaceDE/>
              <w:autoSpaceDN/>
              <w:adjustRightInd/>
              <w:jc w:val="right"/>
            </w:pPr>
            <w:r w:rsidRPr="00EB100D">
              <w:t>6</w:t>
            </w:r>
            <w:r w:rsidR="00EB100D" w:rsidRPr="00EB100D">
              <w:t>2</w:t>
            </w:r>
          </w:p>
        </w:tc>
        <w:tc>
          <w:tcPr>
            <w:tcW w:w="281" w:type="dxa"/>
            <w:tcBorders>
              <w:top w:val="nil"/>
              <w:left w:val="nil"/>
              <w:bottom w:val="nil"/>
              <w:right w:val="nil"/>
            </w:tcBorders>
            <w:shd w:val="clear" w:color="auto" w:fill="auto"/>
            <w:noWrap/>
            <w:vAlign w:val="bottom"/>
          </w:tcPr>
          <w:p w14:paraId="5D893A6E" w14:textId="77777777" w:rsidR="00FC19FE" w:rsidRPr="00EB100D" w:rsidRDefault="00FC19FE" w:rsidP="00FC19FE">
            <w:pPr>
              <w:autoSpaceDE/>
              <w:autoSpaceDN/>
              <w:adjustRightInd/>
              <w:jc w:val="right"/>
            </w:pPr>
          </w:p>
        </w:tc>
        <w:tc>
          <w:tcPr>
            <w:tcW w:w="1388" w:type="dxa"/>
            <w:tcBorders>
              <w:top w:val="nil"/>
              <w:left w:val="nil"/>
              <w:bottom w:val="nil"/>
              <w:right w:val="nil"/>
            </w:tcBorders>
            <w:shd w:val="clear" w:color="auto" w:fill="auto"/>
            <w:noWrap/>
            <w:vAlign w:val="center"/>
          </w:tcPr>
          <w:p w14:paraId="749376C8" w14:textId="1225187C" w:rsidR="00FC19FE" w:rsidRPr="00762641" w:rsidRDefault="0025072E" w:rsidP="00FC19FE">
            <w:pPr>
              <w:autoSpaceDE/>
              <w:autoSpaceDN/>
              <w:adjustRightInd/>
              <w:jc w:val="right"/>
            </w:pPr>
            <w:r>
              <w:t>2</w:t>
            </w:r>
          </w:p>
        </w:tc>
      </w:tr>
      <w:tr w:rsidR="00A117F2" w:rsidRPr="004B1A43" w14:paraId="020627A3" w14:textId="77777777" w:rsidTr="00FC19FE">
        <w:trPr>
          <w:trHeight w:val="219"/>
        </w:trPr>
        <w:tc>
          <w:tcPr>
            <w:tcW w:w="6178" w:type="dxa"/>
            <w:tcBorders>
              <w:top w:val="nil"/>
              <w:left w:val="nil"/>
              <w:bottom w:val="nil"/>
              <w:right w:val="nil"/>
            </w:tcBorders>
            <w:shd w:val="clear" w:color="auto" w:fill="auto"/>
            <w:noWrap/>
            <w:vAlign w:val="bottom"/>
          </w:tcPr>
          <w:p w14:paraId="7D2EC306" w14:textId="2CA4A677" w:rsidR="00A117F2" w:rsidRDefault="00A117F2" w:rsidP="00FC19FE">
            <w:pPr>
              <w:autoSpaceDE/>
              <w:autoSpaceDN/>
              <w:adjustRightInd/>
              <w:ind w:left="288"/>
              <w:jc w:val="both"/>
            </w:pPr>
            <w:r>
              <w:t>Income tax receivable</w:t>
            </w:r>
          </w:p>
        </w:tc>
        <w:tc>
          <w:tcPr>
            <w:tcW w:w="1513" w:type="dxa"/>
            <w:tcBorders>
              <w:top w:val="nil"/>
              <w:left w:val="nil"/>
              <w:bottom w:val="nil"/>
              <w:right w:val="nil"/>
            </w:tcBorders>
            <w:shd w:val="clear" w:color="auto" w:fill="auto"/>
            <w:noWrap/>
            <w:vAlign w:val="center"/>
          </w:tcPr>
          <w:p w14:paraId="05FCC8ED" w14:textId="73F5E768" w:rsidR="00A117F2" w:rsidRPr="00EB100D" w:rsidRDefault="00D860EB" w:rsidP="00FC19FE">
            <w:pPr>
              <w:autoSpaceDE/>
              <w:autoSpaceDN/>
              <w:adjustRightInd/>
              <w:jc w:val="right"/>
            </w:pPr>
            <w:r w:rsidRPr="00EB100D">
              <w:t>--</w:t>
            </w:r>
          </w:p>
        </w:tc>
        <w:tc>
          <w:tcPr>
            <w:tcW w:w="281" w:type="dxa"/>
            <w:tcBorders>
              <w:top w:val="nil"/>
              <w:left w:val="nil"/>
              <w:bottom w:val="nil"/>
              <w:right w:val="nil"/>
            </w:tcBorders>
            <w:shd w:val="clear" w:color="auto" w:fill="auto"/>
            <w:noWrap/>
            <w:vAlign w:val="bottom"/>
          </w:tcPr>
          <w:p w14:paraId="4DB4D66E" w14:textId="77777777" w:rsidR="00A117F2" w:rsidRPr="00EB100D" w:rsidRDefault="00A117F2" w:rsidP="00FC19FE">
            <w:pPr>
              <w:autoSpaceDE/>
              <w:autoSpaceDN/>
              <w:adjustRightInd/>
              <w:jc w:val="right"/>
            </w:pPr>
          </w:p>
        </w:tc>
        <w:tc>
          <w:tcPr>
            <w:tcW w:w="1388" w:type="dxa"/>
            <w:tcBorders>
              <w:top w:val="nil"/>
              <w:left w:val="nil"/>
              <w:bottom w:val="nil"/>
              <w:right w:val="nil"/>
            </w:tcBorders>
            <w:shd w:val="clear" w:color="auto" w:fill="auto"/>
            <w:noWrap/>
            <w:vAlign w:val="center"/>
          </w:tcPr>
          <w:p w14:paraId="2D932BDA" w14:textId="3DB45F4E" w:rsidR="00A117F2" w:rsidRDefault="002E16A4" w:rsidP="00FC19FE">
            <w:pPr>
              <w:autoSpaceDE/>
              <w:autoSpaceDN/>
              <w:adjustRightInd/>
              <w:jc w:val="right"/>
            </w:pPr>
            <w:r>
              <w:t>--</w:t>
            </w:r>
          </w:p>
        </w:tc>
      </w:tr>
      <w:tr w:rsidR="00FC19FE" w:rsidRPr="004B1A43" w14:paraId="2EEF01EF" w14:textId="77777777" w:rsidTr="00D860EB">
        <w:trPr>
          <w:trHeight w:val="219"/>
        </w:trPr>
        <w:tc>
          <w:tcPr>
            <w:tcW w:w="6178" w:type="dxa"/>
            <w:tcBorders>
              <w:top w:val="nil"/>
              <w:left w:val="nil"/>
              <w:bottom w:val="nil"/>
              <w:right w:val="nil"/>
            </w:tcBorders>
            <w:shd w:val="clear" w:color="auto" w:fill="auto"/>
            <w:noWrap/>
            <w:vAlign w:val="bottom"/>
            <w:hideMark/>
          </w:tcPr>
          <w:p w14:paraId="22AC2342" w14:textId="2A01AD6F" w:rsidR="00FC19FE" w:rsidRPr="004E4B85" w:rsidRDefault="00FC19FE" w:rsidP="00FC19FE">
            <w:pPr>
              <w:autoSpaceDE/>
              <w:autoSpaceDN/>
              <w:adjustRightInd/>
              <w:ind w:left="288"/>
              <w:jc w:val="both"/>
            </w:pPr>
            <w:r w:rsidRPr="004E4B85">
              <w:t>Accounts payable and accrued expenses</w:t>
            </w:r>
          </w:p>
        </w:tc>
        <w:tc>
          <w:tcPr>
            <w:tcW w:w="1513" w:type="dxa"/>
            <w:tcBorders>
              <w:top w:val="nil"/>
              <w:left w:val="nil"/>
              <w:right w:val="nil"/>
            </w:tcBorders>
            <w:shd w:val="clear" w:color="auto" w:fill="auto"/>
            <w:noWrap/>
            <w:vAlign w:val="center"/>
          </w:tcPr>
          <w:p w14:paraId="40D16B4D" w14:textId="1606B1D9" w:rsidR="00FC19FE" w:rsidRPr="00EB100D" w:rsidRDefault="0025072E" w:rsidP="00FC19FE">
            <w:pPr>
              <w:autoSpaceDE/>
              <w:autoSpaceDN/>
              <w:adjustRightInd/>
              <w:jc w:val="right"/>
            </w:pPr>
            <w:r w:rsidRPr="00EB100D">
              <w:t>1</w:t>
            </w:r>
            <w:r w:rsidR="00EB100D" w:rsidRPr="00EB100D">
              <w:t>21</w:t>
            </w:r>
          </w:p>
        </w:tc>
        <w:tc>
          <w:tcPr>
            <w:tcW w:w="281" w:type="dxa"/>
            <w:tcBorders>
              <w:top w:val="nil"/>
              <w:left w:val="nil"/>
              <w:bottom w:val="nil"/>
              <w:right w:val="nil"/>
            </w:tcBorders>
            <w:shd w:val="clear" w:color="auto" w:fill="auto"/>
            <w:noWrap/>
            <w:vAlign w:val="bottom"/>
          </w:tcPr>
          <w:p w14:paraId="3D0E3806" w14:textId="77777777" w:rsidR="00FC19FE" w:rsidRPr="00EB100D" w:rsidRDefault="00FC19FE" w:rsidP="00FC19FE">
            <w:pPr>
              <w:autoSpaceDE/>
              <w:autoSpaceDN/>
              <w:adjustRightInd/>
              <w:jc w:val="right"/>
            </w:pPr>
          </w:p>
        </w:tc>
        <w:tc>
          <w:tcPr>
            <w:tcW w:w="1388" w:type="dxa"/>
            <w:tcBorders>
              <w:top w:val="nil"/>
              <w:left w:val="nil"/>
              <w:right w:val="nil"/>
            </w:tcBorders>
            <w:shd w:val="clear" w:color="auto" w:fill="auto"/>
            <w:noWrap/>
            <w:vAlign w:val="center"/>
          </w:tcPr>
          <w:p w14:paraId="658809DB" w14:textId="0682677B" w:rsidR="00FC19FE" w:rsidRPr="00762641" w:rsidRDefault="002E16A4" w:rsidP="00FC19FE">
            <w:pPr>
              <w:autoSpaceDE/>
              <w:autoSpaceDN/>
              <w:adjustRightInd/>
              <w:jc w:val="right"/>
            </w:pPr>
            <w:r>
              <w:t>35</w:t>
            </w:r>
          </w:p>
        </w:tc>
      </w:tr>
      <w:tr w:rsidR="00FC19FE" w:rsidRPr="004B1A43" w14:paraId="41E8938B" w14:textId="77777777" w:rsidTr="00D860EB">
        <w:trPr>
          <w:trHeight w:val="219"/>
        </w:trPr>
        <w:tc>
          <w:tcPr>
            <w:tcW w:w="6178" w:type="dxa"/>
            <w:tcBorders>
              <w:top w:val="nil"/>
              <w:left w:val="nil"/>
              <w:bottom w:val="nil"/>
              <w:right w:val="nil"/>
            </w:tcBorders>
            <w:shd w:val="clear" w:color="auto" w:fill="auto"/>
            <w:noWrap/>
            <w:vAlign w:val="bottom"/>
            <w:hideMark/>
          </w:tcPr>
          <w:p w14:paraId="2229EC77" w14:textId="56A5916E" w:rsidR="00FC19FE" w:rsidRPr="004E4B85" w:rsidRDefault="00FC19FE" w:rsidP="00FC19FE">
            <w:pPr>
              <w:autoSpaceDE/>
              <w:autoSpaceDN/>
              <w:adjustRightInd/>
              <w:ind w:left="288"/>
              <w:jc w:val="both"/>
            </w:pPr>
            <w:r w:rsidRPr="004E4B85">
              <w:t>Other</w:t>
            </w:r>
            <w:r>
              <w:t xml:space="preserve"> operating assets and liabilities</w:t>
            </w:r>
          </w:p>
        </w:tc>
        <w:tc>
          <w:tcPr>
            <w:tcW w:w="1513" w:type="dxa"/>
            <w:tcBorders>
              <w:top w:val="nil"/>
              <w:left w:val="nil"/>
              <w:bottom w:val="single" w:sz="4" w:space="0" w:color="auto"/>
              <w:right w:val="nil"/>
            </w:tcBorders>
            <w:shd w:val="clear" w:color="auto" w:fill="auto"/>
            <w:noWrap/>
            <w:vAlign w:val="center"/>
          </w:tcPr>
          <w:p w14:paraId="3D616560" w14:textId="3D808BA5" w:rsidR="00FC19FE" w:rsidRPr="00EB100D" w:rsidRDefault="00A65897" w:rsidP="00FC19FE">
            <w:pPr>
              <w:autoSpaceDE/>
              <w:autoSpaceDN/>
              <w:adjustRightInd/>
              <w:jc w:val="right"/>
            </w:pPr>
            <w:r>
              <w:t>216</w:t>
            </w:r>
          </w:p>
        </w:tc>
        <w:tc>
          <w:tcPr>
            <w:tcW w:w="281" w:type="dxa"/>
            <w:tcBorders>
              <w:top w:val="nil"/>
              <w:left w:val="nil"/>
              <w:right w:val="nil"/>
            </w:tcBorders>
            <w:shd w:val="clear" w:color="auto" w:fill="auto"/>
            <w:noWrap/>
            <w:vAlign w:val="bottom"/>
          </w:tcPr>
          <w:p w14:paraId="5C7AED0A" w14:textId="77777777" w:rsidR="00FC19FE" w:rsidRPr="00EB100D" w:rsidRDefault="00FC19FE" w:rsidP="00FC19FE">
            <w:pPr>
              <w:autoSpaceDE/>
              <w:autoSpaceDN/>
              <w:adjustRightInd/>
              <w:jc w:val="right"/>
            </w:pPr>
          </w:p>
        </w:tc>
        <w:tc>
          <w:tcPr>
            <w:tcW w:w="1388" w:type="dxa"/>
            <w:tcBorders>
              <w:top w:val="nil"/>
              <w:left w:val="nil"/>
              <w:bottom w:val="single" w:sz="4" w:space="0" w:color="auto"/>
              <w:right w:val="nil"/>
            </w:tcBorders>
            <w:shd w:val="clear" w:color="auto" w:fill="auto"/>
            <w:noWrap/>
            <w:vAlign w:val="center"/>
          </w:tcPr>
          <w:p w14:paraId="72E47850" w14:textId="50F5E2E4" w:rsidR="00FC19FE" w:rsidRPr="00762641" w:rsidRDefault="002E16A4" w:rsidP="00FC19FE">
            <w:pPr>
              <w:autoSpaceDE/>
              <w:autoSpaceDN/>
              <w:adjustRightInd/>
              <w:jc w:val="right"/>
            </w:pPr>
            <w:r>
              <w:t>(</w:t>
            </w:r>
            <w:r w:rsidR="0025072E">
              <w:t>48</w:t>
            </w:r>
            <w:r>
              <w:t>)</w:t>
            </w:r>
          </w:p>
        </w:tc>
      </w:tr>
      <w:tr w:rsidR="00FC19FE" w:rsidRPr="004B1A43" w14:paraId="3EE84C22" w14:textId="77777777" w:rsidTr="00D860EB">
        <w:trPr>
          <w:trHeight w:val="134"/>
        </w:trPr>
        <w:tc>
          <w:tcPr>
            <w:tcW w:w="6178" w:type="dxa"/>
            <w:tcBorders>
              <w:top w:val="nil"/>
              <w:left w:val="nil"/>
              <w:bottom w:val="nil"/>
              <w:right w:val="nil"/>
            </w:tcBorders>
            <w:shd w:val="clear" w:color="auto" w:fill="auto"/>
            <w:noWrap/>
            <w:vAlign w:val="bottom"/>
          </w:tcPr>
          <w:p w14:paraId="73C78363" w14:textId="6575CA76" w:rsidR="00FC19FE" w:rsidRPr="004E4B85" w:rsidRDefault="00FC19FE" w:rsidP="00FC19FE">
            <w:pPr>
              <w:autoSpaceDE/>
              <w:autoSpaceDN/>
              <w:adjustRightInd/>
              <w:ind w:left="576"/>
              <w:jc w:val="both"/>
            </w:pPr>
            <w:r w:rsidRPr="004E4B85">
              <w:t xml:space="preserve">Net Cash </w:t>
            </w:r>
            <w:r>
              <w:t>f</w:t>
            </w:r>
            <w:r w:rsidRPr="004E4B85">
              <w:t>rom Operating Activities</w:t>
            </w:r>
          </w:p>
        </w:tc>
        <w:tc>
          <w:tcPr>
            <w:tcW w:w="1513" w:type="dxa"/>
            <w:tcBorders>
              <w:left w:val="nil"/>
              <w:bottom w:val="single" w:sz="4" w:space="0" w:color="auto"/>
              <w:right w:val="nil"/>
            </w:tcBorders>
            <w:shd w:val="clear" w:color="auto" w:fill="auto"/>
            <w:noWrap/>
            <w:vAlign w:val="center"/>
          </w:tcPr>
          <w:p w14:paraId="48086FA4" w14:textId="69A3949A" w:rsidR="00FC19FE" w:rsidRPr="00EB100D" w:rsidRDefault="00A65897" w:rsidP="00FC19FE">
            <w:pPr>
              <w:autoSpaceDE/>
              <w:autoSpaceDN/>
              <w:adjustRightInd/>
              <w:jc w:val="right"/>
            </w:pPr>
            <w:r>
              <w:t>330</w:t>
            </w:r>
          </w:p>
        </w:tc>
        <w:tc>
          <w:tcPr>
            <w:tcW w:w="281" w:type="dxa"/>
            <w:tcBorders>
              <w:left w:val="nil"/>
              <w:bottom w:val="nil"/>
              <w:right w:val="nil"/>
            </w:tcBorders>
            <w:shd w:val="clear" w:color="auto" w:fill="auto"/>
            <w:noWrap/>
            <w:vAlign w:val="bottom"/>
          </w:tcPr>
          <w:p w14:paraId="06AFB807" w14:textId="77777777" w:rsidR="00FC19FE" w:rsidRPr="00EB100D" w:rsidRDefault="00FC19FE" w:rsidP="00FC19FE">
            <w:pPr>
              <w:autoSpaceDE/>
              <w:autoSpaceDN/>
              <w:adjustRightInd/>
              <w:jc w:val="right"/>
            </w:pPr>
          </w:p>
        </w:tc>
        <w:tc>
          <w:tcPr>
            <w:tcW w:w="1388" w:type="dxa"/>
            <w:tcBorders>
              <w:top w:val="single" w:sz="4" w:space="0" w:color="auto"/>
              <w:left w:val="nil"/>
              <w:bottom w:val="single" w:sz="4" w:space="0" w:color="auto"/>
              <w:right w:val="nil"/>
            </w:tcBorders>
            <w:shd w:val="clear" w:color="auto" w:fill="auto"/>
            <w:noWrap/>
            <w:vAlign w:val="center"/>
          </w:tcPr>
          <w:p w14:paraId="1E33A908" w14:textId="530D7E55" w:rsidR="00FC19FE" w:rsidRPr="00762641" w:rsidRDefault="002E16A4" w:rsidP="00FC19FE">
            <w:pPr>
              <w:autoSpaceDE/>
              <w:autoSpaceDN/>
              <w:adjustRightInd/>
              <w:jc w:val="right"/>
            </w:pPr>
            <w:r>
              <w:t>98</w:t>
            </w:r>
          </w:p>
        </w:tc>
      </w:tr>
      <w:tr w:rsidR="00FC19FE" w:rsidRPr="004B1A43" w14:paraId="617B1096" w14:textId="77777777" w:rsidTr="00A117F2">
        <w:trPr>
          <w:trHeight w:hRule="exact" w:val="325"/>
        </w:trPr>
        <w:tc>
          <w:tcPr>
            <w:tcW w:w="6178" w:type="dxa"/>
            <w:tcBorders>
              <w:top w:val="nil"/>
              <w:left w:val="nil"/>
              <w:bottom w:val="nil"/>
              <w:right w:val="nil"/>
            </w:tcBorders>
            <w:shd w:val="clear" w:color="auto" w:fill="auto"/>
            <w:noWrap/>
            <w:vAlign w:val="bottom"/>
            <w:hideMark/>
          </w:tcPr>
          <w:p w14:paraId="42479855" w14:textId="77777777" w:rsidR="00FC19FE" w:rsidRPr="004E4B85" w:rsidRDefault="00FC19FE" w:rsidP="00FC19FE">
            <w:pPr>
              <w:autoSpaceDE/>
              <w:autoSpaceDN/>
              <w:adjustRightInd/>
              <w:jc w:val="both"/>
            </w:pPr>
          </w:p>
        </w:tc>
        <w:tc>
          <w:tcPr>
            <w:tcW w:w="1513" w:type="dxa"/>
            <w:tcBorders>
              <w:top w:val="nil"/>
              <w:left w:val="nil"/>
              <w:bottom w:val="nil"/>
              <w:right w:val="nil"/>
            </w:tcBorders>
            <w:shd w:val="clear" w:color="auto" w:fill="auto"/>
            <w:noWrap/>
            <w:vAlign w:val="center"/>
          </w:tcPr>
          <w:p w14:paraId="4FABDEC0" w14:textId="77777777" w:rsidR="00FC19FE" w:rsidRPr="009E43D8" w:rsidRDefault="00FC19FE" w:rsidP="00FC19FE">
            <w:pPr>
              <w:autoSpaceDE/>
              <w:autoSpaceDN/>
              <w:adjustRightInd/>
              <w:jc w:val="right"/>
              <w:rPr>
                <w:highlight w:val="yellow"/>
              </w:rPr>
            </w:pPr>
          </w:p>
        </w:tc>
        <w:tc>
          <w:tcPr>
            <w:tcW w:w="281" w:type="dxa"/>
            <w:tcBorders>
              <w:top w:val="nil"/>
              <w:left w:val="nil"/>
              <w:bottom w:val="nil"/>
              <w:right w:val="nil"/>
            </w:tcBorders>
            <w:shd w:val="clear" w:color="auto" w:fill="auto"/>
            <w:noWrap/>
            <w:vAlign w:val="bottom"/>
          </w:tcPr>
          <w:p w14:paraId="0F8D5ED8" w14:textId="77777777" w:rsidR="00FC19FE" w:rsidRPr="00762641" w:rsidRDefault="00FC19FE" w:rsidP="00FC19FE">
            <w:pPr>
              <w:autoSpaceDE/>
              <w:autoSpaceDN/>
              <w:adjustRightInd/>
              <w:jc w:val="right"/>
            </w:pPr>
          </w:p>
        </w:tc>
        <w:tc>
          <w:tcPr>
            <w:tcW w:w="1388" w:type="dxa"/>
            <w:tcBorders>
              <w:top w:val="single" w:sz="4" w:space="0" w:color="auto"/>
              <w:left w:val="nil"/>
              <w:right w:val="nil"/>
            </w:tcBorders>
            <w:shd w:val="clear" w:color="auto" w:fill="auto"/>
            <w:noWrap/>
            <w:vAlign w:val="center"/>
          </w:tcPr>
          <w:p w14:paraId="3D7C37F2" w14:textId="4B6C89CE" w:rsidR="00FC19FE" w:rsidRPr="00762641" w:rsidRDefault="00FC19FE" w:rsidP="00FC19FE">
            <w:pPr>
              <w:autoSpaceDE/>
              <w:autoSpaceDN/>
              <w:adjustRightInd/>
              <w:jc w:val="right"/>
            </w:pPr>
          </w:p>
        </w:tc>
      </w:tr>
      <w:tr w:rsidR="00FC19FE" w:rsidRPr="004B1A43" w14:paraId="03231F08" w14:textId="77777777" w:rsidTr="00A117F2">
        <w:trPr>
          <w:trHeight w:val="219"/>
        </w:trPr>
        <w:tc>
          <w:tcPr>
            <w:tcW w:w="6178" w:type="dxa"/>
            <w:tcBorders>
              <w:top w:val="nil"/>
              <w:left w:val="nil"/>
              <w:bottom w:val="nil"/>
              <w:right w:val="nil"/>
            </w:tcBorders>
            <w:shd w:val="clear" w:color="auto" w:fill="auto"/>
            <w:noWrap/>
            <w:vAlign w:val="bottom"/>
            <w:hideMark/>
          </w:tcPr>
          <w:p w14:paraId="493823E2" w14:textId="36463A08" w:rsidR="00FC19FE" w:rsidRPr="004E4B85" w:rsidRDefault="00FC19FE" w:rsidP="00FC19FE">
            <w:pPr>
              <w:autoSpaceDE/>
              <w:autoSpaceDN/>
              <w:adjustRightInd/>
              <w:jc w:val="both"/>
              <w:rPr>
                <w:b/>
                <w:bCs/>
              </w:rPr>
            </w:pPr>
            <w:r w:rsidRPr="004E4B85">
              <w:rPr>
                <w:b/>
                <w:bCs/>
              </w:rPr>
              <w:t>Cash Flows (Used In) Investing Activities</w:t>
            </w:r>
          </w:p>
        </w:tc>
        <w:tc>
          <w:tcPr>
            <w:tcW w:w="1513" w:type="dxa"/>
            <w:tcBorders>
              <w:top w:val="nil"/>
              <w:left w:val="nil"/>
              <w:bottom w:val="nil"/>
              <w:right w:val="nil"/>
            </w:tcBorders>
            <w:shd w:val="clear" w:color="auto" w:fill="auto"/>
            <w:noWrap/>
            <w:vAlign w:val="bottom"/>
          </w:tcPr>
          <w:p w14:paraId="09C56355" w14:textId="77777777" w:rsidR="00FC19FE" w:rsidRPr="009E43D8" w:rsidRDefault="00FC19FE" w:rsidP="00FC19FE">
            <w:pPr>
              <w:autoSpaceDE/>
              <w:autoSpaceDN/>
              <w:adjustRightInd/>
              <w:jc w:val="right"/>
              <w:rPr>
                <w:b/>
                <w:bCs/>
                <w:highlight w:val="yellow"/>
              </w:rPr>
            </w:pPr>
          </w:p>
        </w:tc>
        <w:tc>
          <w:tcPr>
            <w:tcW w:w="281" w:type="dxa"/>
            <w:tcBorders>
              <w:top w:val="nil"/>
              <w:left w:val="nil"/>
              <w:bottom w:val="nil"/>
              <w:right w:val="nil"/>
            </w:tcBorders>
            <w:shd w:val="clear" w:color="auto" w:fill="auto"/>
            <w:noWrap/>
            <w:vAlign w:val="bottom"/>
          </w:tcPr>
          <w:p w14:paraId="74805944" w14:textId="77777777" w:rsidR="00FC19FE" w:rsidRPr="00762641" w:rsidRDefault="00FC19FE" w:rsidP="00FC19FE">
            <w:pPr>
              <w:autoSpaceDE/>
              <w:autoSpaceDN/>
              <w:adjustRightInd/>
              <w:jc w:val="right"/>
            </w:pPr>
          </w:p>
        </w:tc>
        <w:tc>
          <w:tcPr>
            <w:tcW w:w="1388" w:type="dxa"/>
            <w:tcBorders>
              <w:left w:val="nil"/>
              <w:right w:val="nil"/>
            </w:tcBorders>
            <w:shd w:val="clear" w:color="auto" w:fill="auto"/>
            <w:noWrap/>
            <w:vAlign w:val="center"/>
          </w:tcPr>
          <w:p w14:paraId="7AED780A" w14:textId="3273E00E" w:rsidR="00FC19FE" w:rsidRPr="00762641" w:rsidRDefault="00FC19FE" w:rsidP="00FC19FE">
            <w:pPr>
              <w:autoSpaceDE/>
              <w:autoSpaceDN/>
              <w:adjustRightInd/>
              <w:jc w:val="right"/>
              <w:rPr>
                <w:b/>
                <w:bCs/>
              </w:rPr>
            </w:pPr>
          </w:p>
        </w:tc>
      </w:tr>
      <w:tr w:rsidR="00FC19FE" w:rsidRPr="004B1A43" w14:paraId="75405F52" w14:textId="77777777" w:rsidTr="00A117F2">
        <w:trPr>
          <w:trHeight w:val="189"/>
        </w:trPr>
        <w:tc>
          <w:tcPr>
            <w:tcW w:w="6178" w:type="dxa"/>
            <w:tcBorders>
              <w:top w:val="nil"/>
              <w:left w:val="nil"/>
              <w:bottom w:val="nil"/>
              <w:right w:val="nil"/>
            </w:tcBorders>
            <w:shd w:val="clear" w:color="auto" w:fill="auto"/>
            <w:noWrap/>
            <w:vAlign w:val="bottom"/>
          </w:tcPr>
          <w:p w14:paraId="52C421D7" w14:textId="3D51E53A" w:rsidR="00FC19FE" w:rsidRPr="004E4B85" w:rsidRDefault="00FC19FE" w:rsidP="00FC19FE">
            <w:pPr>
              <w:autoSpaceDE/>
              <w:autoSpaceDN/>
              <w:adjustRightInd/>
              <w:jc w:val="both"/>
            </w:pPr>
            <w:r>
              <w:t>Capital expenditures</w:t>
            </w:r>
          </w:p>
        </w:tc>
        <w:tc>
          <w:tcPr>
            <w:tcW w:w="1513" w:type="dxa"/>
            <w:tcBorders>
              <w:top w:val="nil"/>
              <w:left w:val="nil"/>
              <w:right w:val="nil"/>
            </w:tcBorders>
            <w:shd w:val="clear" w:color="auto" w:fill="auto"/>
            <w:noWrap/>
            <w:vAlign w:val="bottom"/>
          </w:tcPr>
          <w:p w14:paraId="495329EB" w14:textId="366508CE" w:rsidR="00FC19FE" w:rsidRPr="00EB100D" w:rsidRDefault="00A65897" w:rsidP="00FC19FE">
            <w:pPr>
              <w:autoSpaceDE/>
              <w:autoSpaceDN/>
              <w:adjustRightInd/>
              <w:jc w:val="right"/>
            </w:pPr>
            <w:r>
              <w:t>(18)</w:t>
            </w:r>
          </w:p>
        </w:tc>
        <w:tc>
          <w:tcPr>
            <w:tcW w:w="281" w:type="dxa"/>
            <w:tcBorders>
              <w:top w:val="nil"/>
              <w:left w:val="nil"/>
              <w:bottom w:val="nil"/>
              <w:right w:val="nil"/>
            </w:tcBorders>
            <w:shd w:val="clear" w:color="auto" w:fill="auto"/>
            <w:noWrap/>
            <w:vAlign w:val="bottom"/>
          </w:tcPr>
          <w:p w14:paraId="167BFD08" w14:textId="4156B4DB" w:rsidR="00FC19FE" w:rsidRPr="00762641" w:rsidRDefault="00FC19FE" w:rsidP="00FC19FE">
            <w:pPr>
              <w:autoSpaceDE/>
              <w:autoSpaceDN/>
              <w:adjustRightInd/>
              <w:jc w:val="right"/>
            </w:pPr>
          </w:p>
        </w:tc>
        <w:tc>
          <w:tcPr>
            <w:tcW w:w="1388" w:type="dxa"/>
            <w:tcBorders>
              <w:left w:val="nil"/>
              <w:bottom w:val="nil"/>
              <w:right w:val="nil"/>
            </w:tcBorders>
            <w:shd w:val="clear" w:color="auto" w:fill="auto"/>
            <w:noWrap/>
            <w:vAlign w:val="center"/>
          </w:tcPr>
          <w:p w14:paraId="2DA6DB86" w14:textId="6D58B062" w:rsidR="00FC19FE" w:rsidRPr="00762641" w:rsidRDefault="00A117F2" w:rsidP="00FC19FE">
            <w:pPr>
              <w:autoSpaceDE/>
              <w:autoSpaceDN/>
              <w:adjustRightInd/>
              <w:jc w:val="right"/>
            </w:pPr>
            <w:r>
              <w:t>(1</w:t>
            </w:r>
            <w:r w:rsidR="002E16A4">
              <w:t>8</w:t>
            </w:r>
            <w:r>
              <w:t>)</w:t>
            </w:r>
          </w:p>
        </w:tc>
      </w:tr>
      <w:tr w:rsidR="00FC19FE" w:rsidRPr="004B1A43" w14:paraId="434A0D65" w14:textId="77777777" w:rsidTr="00D860EB">
        <w:trPr>
          <w:trHeight w:val="189"/>
        </w:trPr>
        <w:tc>
          <w:tcPr>
            <w:tcW w:w="6178" w:type="dxa"/>
            <w:tcBorders>
              <w:top w:val="nil"/>
              <w:left w:val="nil"/>
              <w:bottom w:val="nil"/>
              <w:right w:val="nil"/>
            </w:tcBorders>
            <w:shd w:val="clear" w:color="auto" w:fill="auto"/>
            <w:noWrap/>
            <w:vAlign w:val="bottom"/>
          </w:tcPr>
          <w:p w14:paraId="4FCB0C54" w14:textId="77777777" w:rsidR="00FC19FE" w:rsidRPr="004E4B85" w:rsidRDefault="00FC19FE" w:rsidP="00FC19FE">
            <w:pPr>
              <w:autoSpaceDE/>
              <w:autoSpaceDN/>
              <w:adjustRightInd/>
              <w:jc w:val="both"/>
            </w:pPr>
            <w:r w:rsidRPr="004E4B85">
              <w:t xml:space="preserve">Redemption of U.S. Treasury Bills </w:t>
            </w:r>
          </w:p>
        </w:tc>
        <w:tc>
          <w:tcPr>
            <w:tcW w:w="1513" w:type="dxa"/>
            <w:tcBorders>
              <w:top w:val="nil"/>
              <w:left w:val="nil"/>
              <w:right w:val="nil"/>
            </w:tcBorders>
            <w:shd w:val="clear" w:color="auto" w:fill="auto"/>
            <w:noWrap/>
            <w:vAlign w:val="bottom"/>
          </w:tcPr>
          <w:p w14:paraId="3BA4E289" w14:textId="5681079C" w:rsidR="00FC19FE" w:rsidRPr="00EB100D" w:rsidRDefault="00A117F2" w:rsidP="00FC19FE">
            <w:pPr>
              <w:autoSpaceDE/>
              <w:autoSpaceDN/>
              <w:adjustRightInd/>
              <w:jc w:val="right"/>
            </w:pPr>
            <w:r w:rsidRPr="00EB100D">
              <w:t>15,000</w:t>
            </w:r>
          </w:p>
        </w:tc>
        <w:tc>
          <w:tcPr>
            <w:tcW w:w="281" w:type="dxa"/>
            <w:tcBorders>
              <w:top w:val="nil"/>
              <w:left w:val="nil"/>
              <w:bottom w:val="nil"/>
              <w:right w:val="nil"/>
            </w:tcBorders>
            <w:shd w:val="clear" w:color="auto" w:fill="auto"/>
            <w:noWrap/>
            <w:vAlign w:val="bottom"/>
          </w:tcPr>
          <w:p w14:paraId="3F936A73" w14:textId="77777777" w:rsidR="00FC19FE" w:rsidRPr="00762641" w:rsidRDefault="00FC19FE" w:rsidP="00FC19FE">
            <w:pPr>
              <w:autoSpaceDE/>
              <w:autoSpaceDN/>
              <w:adjustRightInd/>
              <w:jc w:val="right"/>
            </w:pPr>
          </w:p>
        </w:tc>
        <w:tc>
          <w:tcPr>
            <w:tcW w:w="1388" w:type="dxa"/>
            <w:tcBorders>
              <w:top w:val="nil"/>
              <w:left w:val="nil"/>
              <w:right w:val="nil"/>
            </w:tcBorders>
            <w:shd w:val="clear" w:color="auto" w:fill="auto"/>
            <w:noWrap/>
            <w:vAlign w:val="bottom"/>
          </w:tcPr>
          <w:p w14:paraId="15679EF6" w14:textId="21BCFEFA" w:rsidR="00FC19FE" w:rsidRPr="00762641" w:rsidRDefault="00DD6530" w:rsidP="00FC19FE">
            <w:pPr>
              <w:autoSpaceDE/>
              <w:autoSpaceDN/>
              <w:adjustRightInd/>
              <w:jc w:val="right"/>
            </w:pPr>
            <w:r>
              <w:t>--</w:t>
            </w:r>
          </w:p>
        </w:tc>
      </w:tr>
      <w:tr w:rsidR="00FC19FE" w:rsidRPr="004B1A43" w14:paraId="3928C5D0" w14:textId="77777777" w:rsidTr="00D860EB">
        <w:trPr>
          <w:trHeight w:val="189"/>
        </w:trPr>
        <w:tc>
          <w:tcPr>
            <w:tcW w:w="6178" w:type="dxa"/>
            <w:tcBorders>
              <w:top w:val="nil"/>
              <w:left w:val="nil"/>
              <w:bottom w:val="nil"/>
              <w:right w:val="nil"/>
            </w:tcBorders>
            <w:shd w:val="clear" w:color="auto" w:fill="auto"/>
            <w:noWrap/>
            <w:vAlign w:val="bottom"/>
          </w:tcPr>
          <w:p w14:paraId="0AF0C738" w14:textId="77777777" w:rsidR="00FC19FE" w:rsidRPr="004E4B85" w:rsidRDefault="00FC19FE" w:rsidP="00FC19FE">
            <w:pPr>
              <w:autoSpaceDE/>
              <w:autoSpaceDN/>
              <w:adjustRightInd/>
              <w:jc w:val="both"/>
            </w:pPr>
            <w:r w:rsidRPr="004E4B85">
              <w:t xml:space="preserve">Acquisition of U.S. Treasury Bills </w:t>
            </w:r>
          </w:p>
        </w:tc>
        <w:tc>
          <w:tcPr>
            <w:tcW w:w="1513" w:type="dxa"/>
            <w:tcBorders>
              <w:top w:val="nil"/>
              <w:left w:val="nil"/>
              <w:bottom w:val="single" w:sz="4" w:space="0" w:color="auto"/>
              <w:right w:val="nil"/>
            </w:tcBorders>
            <w:shd w:val="clear" w:color="auto" w:fill="auto"/>
            <w:noWrap/>
            <w:vAlign w:val="bottom"/>
          </w:tcPr>
          <w:p w14:paraId="5217558E" w14:textId="07AA232A" w:rsidR="00FC19FE" w:rsidRPr="00EB100D" w:rsidRDefault="00A117F2" w:rsidP="00FC19FE">
            <w:pPr>
              <w:autoSpaceDE/>
              <w:autoSpaceDN/>
              <w:adjustRightInd/>
              <w:jc w:val="right"/>
            </w:pPr>
            <w:r w:rsidRPr="00EB100D">
              <w:t>(23,999)</w:t>
            </w:r>
          </w:p>
        </w:tc>
        <w:tc>
          <w:tcPr>
            <w:tcW w:w="281" w:type="dxa"/>
            <w:tcBorders>
              <w:top w:val="nil"/>
              <w:left w:val="nil"/>
              <w:right w:val="nil"/>
            </w:tcBorders>
            <w:shd w:val="clear" w:color="auto" w:fill="auto"/>
            <w:noWrap/>
            <w:vAlign w:val="bottom"/>
          </w:tcPr>
          <w:p w14:paraId="643A1ADA" w14:textId="77777777" w:rsidR="00FC19FE" w:rsidRPr="00762641" w:rsidRDefault="00FC19FE" w:rsidP="00FC19FE">
            <w:pPr>
              <w:autoSpaceDE/>
              <w:autoSpaceDN/>
              <w:adjustRightInd/>
              <w:jc w:val="right"/>
            </w:pPr>
          </w:p>
        </w:tc>
        <w:tc>
          <w:tcPr>
            <w:tcW w:w="1388" w:type="dxa"/>
            <w:tcBorders>
              <w:top w:val="nil"/>
              <w:left w:val="nil"/>
              <w:bottom w:val="single" w:sz="4" w:space="0" w:color="auto"/>
              <w:right w:val="nil"/>
            </w:tcBorders>
            <w:shd w:val="clear" w:color="auto" w:fill="auto"/>
            <w:noWrap/>
            <w:vAlign w:val="bottom"/>
          </w:tcPr>
          <w:p w14:paraId="2424F71C" w14:textId="7A95AA4E" w:rsidR="00FC19FE" w:rsidRPr="00762641" w:rsidRDefault="00DD6530" w:rsidP="00FC19FE">
            <w:pPr>
              <w:autoSpaceDE/>
              <w:autoSpaceDN/>
              <w:adjustRightInd/>
              <w:jc w:val="right"/>
            </w:pPr>
            <w:r>
              <w:t>--</w:t>
            </w:r>
          </w:p>
        </w:tc>
      </w:tr>
      <w:tr w:rsidR="00FC19FE" w:rsidRPr="004B1A43" w14:paraId="750B97FD" w14:textId="77777777" w:rsidTr="00D860EB">
        <w:trPr>
          <w:trHeight w:hRule="exact" w:val="288"/>
        </w:trPr>
        <w:tc>
          <w:tcPr>
            <w:tcW w:w="6178" w:type="dxa"/>
            <w:tcBorders>
              <w:top w:val="nil"/>
              <w:left w:val="nil"/>
              <w:bottom w:val="nil"/>
              <w:right w:val="nil"/>
            </w:tcBorders>
            <w:shd w:val="clear" w:color="auto" w:fill="auto"/>
            <w:noWrap/>
            <w:vAlign w:val="bottom"/>
            <w:hideMark/>
          </w:tcPr>
          <w:p w14:paraId="6AFED80E" w14:textId="091938C8" w:rsidR="00FC19FE" w:rsidRPr="004E4B85" w:rsidRDefault="00FC19FE" w:rsidP="00FC19FE">
            <w:pPr>
              <w:autoSpaceDE/>
              <w:autoSpaceDN/>
              <w:adjustRightInd/>
              <w:ind w:left="432"/>
              <w:jc w:val="both"/>
            </w:pPr>
            <w:r w:rsidRPr="004E4B85">
              <w:t>Net Cash (</w:t>
            </w:r>
            <w:r>
              <w:t>u</w:t>
            </w:r>
            <w:r w:rsidRPr="004E4B85">
              <w:t xml:space="preserve">sed </w:t>
            </w:r>
            <w:r>
              <w:t>i</w:t>
            </w:r>
            <w:r w:rsidRPr="004E4B85">
              <w:t>n) Investing Activities</w:t>
            </w:r>
          </w:p>
        </w:tc>
        <w:tc>
          <w:tcPr>
            <w:tcW w:w="1513" w:type="dxa"/>
            <w:tcBorders>
              <w:top w:val="single" w:sz="4" w:space="0" w:color="auto"/>
              <w:left w:val="nil"/>
              <w:bottom w:val="single" w:sz="4" w:space="0" w:color="auto"/>
              <w:right w:val="nil"/>
            </w:tcBorders>
            <w:shd w:val="clear" w:color="auto" w:fill="auto"/>
            <w:noWrap/>
            <w:vAlign w:val="bottom"/>
          </w:tcPr>
          <w:p w14:paraId="4DB37244" w14:textId="573F6579" w:rsidR="00FC19FE" w:rsidRPr="009E43D8" w:rsidRDefault="00A117F2" w:rsidP="00FC19FE">
            <w:pPr>
              <w:autoSpaceDE/>
              <w:autoSpaceDN/>
              <w:adjustRightInd/>
              <w:ind w:firstLineChars="200" w:firstLine="480"/>
              <w:jc w:val="right"/>
              <w:rPr>
                <w:highlight w:val="yellow"/>
              </w:rPr>
            </w:pPr>
            <w:r w:rsidRPr="00014411">
              <w:t>(</w:t>
            </w:r>
            <w:r w:rsidR="002139AE">
              <w:t>9</w:t>
            </w:r>
            <w:r w:rsidRPr="00014411">
              <w:t>,</w:t>
            </w:r>
            <w:r w:rsidR="002139AE">
              <w:t>017</w:t>
            </w:r>
            <w:r w:rsidRPr="00014411">
              <w:t>)</w:t>
            </w:r>
          </w:p>
        </w:tc>
        <w:tc>
          <w:tcPr>
            <w:tcW w:w="281" w:type="dxa"/>
            <w:tcBorders>
              <w:top w:val="nil"/>
              <w:left w:val="nil"/>
              <w:bottom w:val="nil"/>
              <w:right w:val="nil"/>
            </w:tcBorders>
            <w:shd w:val="clear" w:color="auto" w:fill="auto"/>
            <w:noWrap/>
            <w:vAlign w:val="bottom"/>
          </w:tcPr>
          <w:p w14:paraId="78338B2B" w14:textId="77777777" w:rsidR="00FC19FE" w:rsidRPr="00762641" w:rsidRDefault="00FC19FE" w:rsidP="00FC19FE">
            <w:pPr>
              <w:autoSpaceDE/>
              <w:autoSpaceDN/>
              <w:adjustRightInd/>
              <w:jc w:val="right"/>
            </w:pPr>
          </w:p>
        </w:tc>
        <w:tc>
          <w:tcPr>
            <w:tcW w:w="1388" w:type="dxa"/>
            <w:tcBorders>
              <w:top w:val="single" w:sz="4" w:space="0" w:color="auto"/>
              <w:left w:val="nil"/>
              <w:bottom w:val="single" w:sz="4" w:space="0" w:color="auto"/>
              <w:right w:val="nil"/>
            </w:tcBorders>
            <w:shd w:val="clear" w:color="auto" w:fill="auto"/>
            <w:noWrap/>
            <w:vAlign w:val="bottom"/>
          </w:tcPr>
          <w:p w14:paraId="6C6EE31C" w14:textId="34171B8C" w:rsidR="00FC19FE" w:rsidRPr="00762641" w:rsidRDefault="00A117F2" w:rsidP="00FC19FE">
            <w:pPr>
              <w:autoSpaceDE/>
              <w:autoSpaceDN/>
              <w:adjustRightInd/>
              <w:ind w:firstLineChars="200" w:firstLine="480"/>
              <w:jc w:val="right"/>
            </w:pPr>
            <w:r>
              <w:t>(1</w:t>
            </w:r>
            <w:r w:rsidR="002E16A4">
              <w:t>8</w:t>
            </w:r>
            <w:r>
              <w:t>)</w:t>
            </w:r>
          </w:p>
        </w:tc>
      </w:tr>
      <w:tr w:rsidR="00FC19FE" w:rsidRPr="004B1A43" w14:paraId="360AC828" w14:textId="77777777" w:rsidTr="00D860EB">
        <w:trPr>
          <w:trHeight w:val="467"/>
        </w:trPr>
        <w:tc>
          <w:tcPr>
            <w:tcW w:w="6178" w:type="dxa"/>
            <w:tcBorders>
              <w:top w:val="nil"/>
              <w:left w:val="nil"/>
              <w:bottom w:val="nil"/>
              <w:right w:val="nil"/>
            </w:tcBorders>
            <w:shd w:val="clear" w:color="auto" w:fill="auto"/>
            <w:noWrap/>
            <w:vAlign w:val="bottom"/>
            <w:hideMark/>
          </w:tcPr>
          <w:p w14:paraId="3E432F2F" w14:textId="77777777" w:rsidR="00FC19FE" w:rsidRDefault="00FC19FE" w:rsidP="00FC19FE">
            <w:pPr>
              <w:autoSpaceDE/>
              <w:autoSpaceDN/>
              <w:adjustRightInd/>
              <w:jc w:val="both"/>
              <w:rPr>
                <w:b/>
                <w:bCs/>
              </w:rPr>
            </w:pPr>
          </w:p>
          <w:p w14:paraId="58D2B7A0" w14:textId="3F2D0F3C" w:rsidR="00FC19FE" w:rsidRPr="004E4B85" w:rsidRDefault="00FC19FE" w:rsidP="00FC19FE">
            <w:pPr>
              <w:autoSpaceDE/>
              <w:autoSpaceDN/>
              <w:adjustRightInd/>
              <w:jc w:val="both"/>
              <w:rPr>
                <w:b/>
                <w:bCs/>
              </w:rPr>
            </w:pPr>
            <w:r w:rsidRPr="004E4B85">
              <w:rPr>
                <w:b/>
                <w:bCs/>
              </w:rPr>
              <w:t xml:space="preserve">Cash Flows </w:t>
            </w:r>
            <w:r>
              <w:rPr>
                <w:b/>
                <w:bCs/>
              </w:rPr>
              <w:t>(</w:t>
            </w:r>
            <w:r w:rsidRPr="004E4B85">
              <w:rPr>
                <w:b/>
                <w:bCs/>
              </w:rPr>
              <w:t xml:space="preserve">Used </w:t>
            </w:r>
            <w:r>
              <w:rPr>
                <w:b/>
                <w:bCs/>
              </w:rPr>
              <w:t>i</w:t>
            </w:r>
            <w:r w:rsidRPr="004E4B85">
              <w:rPr>
                <w:b/>
                <w:bCs/>
              </w:rPr>
              <w:t>n</w:t>
            </w:r>
            <w:r>
              <w:rPr>
                <w:b/>
                <w:bCs/>
              </w:rPr>
              <w:t>)</w:t>
            </w:r>
            <w:r w:rsidRPr="004E4B85">
              <w:rPr>
                <w:b/>
                <w:bCs/>
              </w:rPr>
              <w:t xml:space="preserve"> Financing Activities</w:t>
            </w:r>
          </w:p>
        </w:tc>
        <w:tc>
          <w:tcPr>
            <w:tcW w:w="1513" w:type="dxa"/>
            <w:tcBorders>
              <w:top w:val="single" w:sz="4" w:space="0" w:color="auto"/>
              <w:left w:val="nil"/>
              <w:bottom w:val="nil"/>
              <w:right w:val="nil"/>
            </w:tcBorders>
            <w:shd w:val="clear" w:color="auto" w:fill="auto"/>
            <w:noWrap/>
            <w:vAlign w:val="bottom"/>
          </w:tcPr>
          <w:p w14:paraId="26DB5290" w14:textId="77777777" w:rsidR="00FC19FE" w:rsidRPr="009E43D8" w:rsidRDefault="00FC19FE" w:rsidP="00FC19FE">
            <w:pPr>
              <w:autoSpaceDE/>
              <w:autoSpaceDN/>
              <w:adjustRightInd/>
              <w:jc w:val="right"/>
              <w:rPr>
                <w:b/>
                <w:bCs/>
                <w:highlight w:val="yellow"/>
              </w:rPr>
            </w:pPr>
          </w:p>
        </w:tc>
        <w:tc>
          <w:tcPr>
            <w:tcW w:w="281" w:type="dxa"/>
            <w:tcBorders>
              <w:top w:val="nil"/>
              <w:left w:val="nil"/>
              <w:bottom w:val="nil"/>
              <w:right w:val="nil"/>
            </w:tcBorders>
            <w:shd w:val="clear" w:color="auto" w:fill="auto"/>
            <w:noWrap/>
            <w:vAlign w:val="bottom"/>
          </w:tcPr>
          <w:p w14:paraId="46FB2532" w14:textId="77777777" w:rsidR="00FC19FE" w:rsidRPr="00762641" w:rsidRDefault="00FC19FE" w:rsidP="00FC19FE">
            <w:pPr>
              <w:autoSpaceDE/>
              <w:autoSpaceDN/>
              <w:adjustRightInd/>
              <w:jc w:val="right"/>
            </w:pPr>
          </w:p>
        </w:tc>
        <w:tc>
          <w:tcPr>
            <w:tcW w:w="1388" w:type="dxa"/>
            <w:tcBorders>
              <w:top w:val="single" w:sz="4" w:space="0" w:color="auto"/>
              <w:left w:val="nil"/>
              <w:right w:val="nil"/>
            </w:tcBorders>
            <w:shd w:val="clear" w:color="auto" w:fill="auto"/>
            <w:noWrap/>
            <w:vAlign w:val="bottom"/>
          </w:tcPr>
          <w:p w14:paraId="2BCEC290" w14:textId="3271014C" w:rsidR="00FC19FE" w:rsidRPr="00762641" w:rsidRDefault="00FC19FE" w:rsidP="00FC19FE">
            <w:pPr>
              <w:autoSpaceDE/>
              <w:autoSpaceDN/>
              <w:adjustRightInd/>
              <w:jc w:val="right"/>
              <w:rPr>
                <w:b/>
                <w:bCs/>
              </w:rPr>
            </w:pPr>
          </w:p>
        </w:tc>
      </w:tr>
      <w:tr w:rsidR="00FC19FE" w:rsidRPr="004B1A43" w14:paraId="56E1EC0F" w14:textId="77777777" w:rsidTr="00A117F2">
        <w:trPr>
          <w:trHeight w:val="219"/>
        </w:trPr>
        <w:tc>
          <w:tcPr>
            <w:tcW w:w="6178" w:type="dxa"/>
            <w:tcBorders>
              <w:top w:val="nil"/>
              <w:left w:val="nil"/>
              <w:bottom w:val="nil"/>
              <w:right w:val="nil"/>
            </w:tcBorders>
            <w:shd w:val="clear" w:color="auto" w:fill="auto"/>
            <w:noWrap/>
            <w:vAlign w:val="bottom"/>
            <w:hideMark/>
          </w:tcPr>
          <w:p w14:paraId="56AD8910" w14:textId="77777777" w:rsidR="00FC19FE" w:rsidRPr="004E4B85" w:rsidRDefault="00FC19FE" w:rsidP="00FC19FE">
            <w:pPr>
              <w:autoSpaceDE/>
              <w:autoSpaceDN/>
              <w:adjustRightInd/>
              <w:jc w:val="both"/>
            </w:pPr>
            <w:r w:rsidRPr="004E4B85">
              <w:t>Purchase of treasury stock</w:t>
            </w:r>
          </w:p>
        </w:tc>
        <w:tc>
          <w:tcPr>
            <w:tcW w:w="1513" w:type="dxa"/>
            <w:tcBorders>
              <w:top w:val="nil"/>
              <w:left w:val="nil"/>
              <w:bottom w:val="single" w:sz="4" w:space="0" w:color="auto"/>
              <w:right w:val="nil"/>
            </w:tcBorders>
            <w:shd w:val="clear" w:color="auto" w:fill="auto"/>
            <w:noWrap/>
            <w:vAlign w:val="bottom"/>
          </w:tcPr>
          <w:p w14:paraId="5A6FFF2E" w14:textId="385E5724" w:rsidR="00FC19FE" w:rsidRPr="00C02E1C" w:rsidRDefault="00A117F2" w:rsidP="00FC19FE">
            <w:pPr>
              <w:autoSpaceDE/>
              <w:autoSpaceDN/>
              <w:adjustRightInd/>
              <w:jc w:val="right"/>
            </w:pPr>
            <w:r w:rsidRPr="00C02E1C">
              <w:t>(1,</w:t>
            </w:r>
            <w:r w:rsidR="002E16A4" w:rsidRPr="00C02E1C">
              <w:t>841</w:t>
            </w:r>
            <w:r w:rsidRPr="00C02E1C">
              <w:t>)</w:t>
            </w:r>
          </w:p>
        </w:tc>
        <w:tc>
          <w:tcPr>
            <w:tcW w:w="281" w:type="dxa"/>
            <w:tcBorders>
              <w:top w:val="nil"/>
              <w:left w:val="nil"/>
              <w:right w:val="nil"/>
            </w:tcBorders>
            <w:shd w:val="clear" w:color="auto" w:fill="auto"/>
            <w:noWrap/>
            <w:vAlign w:val="bottom"/>
          </w:tcPr>
          <w:p w14:paraId="159D75C9" w14:textId="77777777" w:rsidR="00FC19FE" w:rsidRPr="00762641" w:rsidRDefault="00FC19FE" w:rsidP="00FC19FE">
            <w:pPr>
              <w:autoSpaceDE/>
              <w:autoSpaceDN/>
              <w:adjustRightInd/>
              <w:jc w:val="right"/>
            </w:pPr>
          </w:p>
        </w:tc>
        <w:tc>
          <w:tcPr>
            <w:tcW w:w="1388" w:type="dxa"/>
            <w:tcBorders>
              <w:left w:val="nil"/>
              <w:bottom w:val="single" w:sz="4" w:space="0" w:color="auto"/>
              <w:right w:val="nil"/>
            </w:tcBorders>
            <w:shd w:val="clear" w:color="auto" w:fill="auto"/>
            <w:noWrap/>
            <w:vAlign w:val="bottom"/>
          </w:tcPr>
          <w:p w14:paraId="54BC4CFA" w14:textId="13FBFC1C" w:rsidR="00FC19FE" w:rsidRPr="00DB43FA" w:rsidRDefault="00A117F2" w:rsidP="00FC19FE">
            <w:pPr>
              <w:autoSpaceDE/>
              <w:autoSpaceDN/>
              <w:adjustRightInd/>
              <w:jc w:val="right"/>
            </w:pPr>
            <w:r>
              <w:t>(</w:t>
            </w:r>
            <w:r w:rsidR="002E16A4">
              <w:t>640</w:t>
            </w:r>
            <w:r>
              <w:t>)</w:t>
            </w:r>
          </w:p>
        </w:tc>
      </w:tr>
      <w:tr w:rsidR="00FC19FE" w:rsidRPr="004B1A43" w14:paraId="29900567" w14:textId="77777777" w:rsidTr="00A117F2">
        <w:trPr>
          <w:trHeight w:val="219"/>
        </w:trPr>
        <w:tc>
          <w:tcPr>
            <w:tcW w:w="6178" w:type="dxa"/>
            <w:tcBorders>
              <w:top w:val="nil"/>
              <w:left w:val="nil"/>
              <w:bottom w:val="nil"/>
              <w:right w:val="nil"/>
            </w:tcBorders>
            <w:shd w:val="clear" w:color="auto" w:fill="auto"/>
            <w:noWrap/>
            <w:vAlign w:val="bottom"/>
          </w:tcPr>
          <w:p w14:paraId="06661794" w14:textId="0EE9D740" w:rsidR="00FC19FE" w:rsidRPr="004E4B85" w:rsidRDefault="00FC19FE" w:rsidP="00FC19FE">
            <w:pPr>
              <w:autoSpaceDE/>
              <w:autoSpaceDN/>
              <w:adjustRightInd/>
              <w:ind w:left="432"/>
              <w:jc w:val="both"/>
            </w:pPr>
            <w:r w:rsidRPr="004E4B85">
              <w:t xml:space="preserve">Net Cash </w:t>
            </w:r>
            <w:r>
              <w:t>(u</w:t>
            </w:r>
            <w:r w:rsidRPr="004E4B85">
              <w:t xml:space="preserve">sed </w:t>
            </w:r>
            <w:r>
              <w:t>i</w:t>
            </w:r>
            <w:r w:rsidRPr="004E4B85">
              <w:t>n</w:t>
            </w:r>
            <w:r>
              <w:t>)</w:t>
            </w:r>
            <w:r w:rsidRPr="004E4B85">
              <w:t xml:space="preserve"> Financing Activities</w:t>
            </w:r>
          </w:p>
        </w:tc>
        <w:tc>
          <w:tcPr>
            <w:tcW w:w="1513" w:type="dxa"/>
            <w:tcBorders>
              <w:top w:val="single" w:sz="4" w:space="0" w:color="auto"/>
              <w:left w:val="nil"/>
              <w:right w:val="nil"/>
            </w:tcBorders>
            <w:shd w:val="clear" w:color="auto" w:fill="auto"/>
            <w:noWrap/>
            <w:vAlign w:val="bottom"/>
          </w:tcPr>
          <w:p w14:paraId="15A346CF" w14:textId="278E9A22" w:rsidR="00FC19FE" w:rsidRPr="00C02E1C" w:rsidRDefault="00A117F2" w:rsidP="00FC19FE">
            <w:pPr>
              <w:autoSpaceDE/>
              <w:autoSpaceDN/>
              <w:adjustRightInd/>
              <w:jc w:val="right"/>
            </w:pPr>
            <w:r w:rsidRPr="00C02E1C">
              <w:t>(1,</w:t>
            </w:r>
            <w:r w:rsidR="002E16A4" w:rsidRPr="00C02E1C">
              <w:t>841</w:t>
            </w:r>
            <w:r w:rsidRPr="00C02E1C">
              <w:t>)</w:t>
            </w:r>
          </w:p>
        </w:tc>
        <w:tc>
          <w:tcPr>
            <w:tcW w:w="281" w:type="dxa"/>
            <w:tcBorders>
              <w:top w:val="nil"/>
              <w:left w:val="nil"/>
              <w:bottom w:val="nil"/>
              <w:right w:val="nil"/>
            </w:tcBorders>
            <w:shd w:val="clear" w:color="auto" w:fill="auto"/>
            <w:noWrap/>
            <w:vAlign w:val="bottom"/>
          </w:tcPr>
          <w:p w14:paraId="33E035F6" w14:textId="77777777" w:rsidR="00FC19FE" w:rsidRPr="00762641" w:rsidRDefault="00FC19FE" w:rsidP="00FC19FE">
            <w:pPr>
              <w:autoSpaceDE/>
              <w:autoSpaceDN/>
              <w:adjustRightInd/>
              <w:jc w:val="right"/>
            </w:pPr>
          </w:p>
        </w:tc>
        <w:tc>
          <w:tcPr>
            <w:tcW w:w="1388" w:type="dxa"/>
            <w:tcBorders>
              <w:top w:val="single" w:sz="4" w:space="0" w:color="auto"/>
              <w:left w:val="nil"/>
              <w:bottom w:val="nil"/>
              <w:right w:val="nil"/>
            </w:tcBorders>
            <w:shd w:val="clear" w:color="auto" w:fill="auto"/>
            <w:noWrap/>
            <w:vAlign w:val="bottom"/>
          </w:tcPr>
          <w:p w14:paraId="3B82F223" w14:textId="0D968765" w:rsidR="00FC19FE" w:rsidRPr="00762641" w:rsidRDefault="00A117F2" w:rsidP="00FC19FE">
            <w:pPr>
              <w:autoSpaceDE/>
              <w:autoSpaceDN/>
              <w:adjustRightInd/>
              <w:jc w:val="right"/>
            </w:pPr>
            <w:r>
              <w:t>(</w:t>
            </w:r>
            <w:r w:rsidR="002E16A4">
              <w:t>640</w:t>
            </w:r>
            <w:r>
              <w:t>)</w:t>
            </w:r>
          </w:p>
        </w:tc>
      </w:tr>
      <w:tr w:rsidR="00FC19FE" w:rsidRPr="004B1A43" w14:paraId="3BD8ADB5" w14:textId="77777777" w:rsidTr="00A117F2">
        <w:trPr>
          <w:trHeight w:val="395"/>
        </w:trPr>
        <w:tc>
          <w:tcPr>
            <w:tcW w:w="6178" w:type="dxa"/>
            <w:tcBorders>
              <w:top w:val="nil"/>
              <w:left w:val="nil"/>
              <w:bottom w:val="nil"/>
              <w:right w:val="nil"/>
            </w:tcBorders>
            <w:shd w:val="clear" w:color="auto" w:fill="auto"/>
            <w:noWrap/>
            <w:vAlign w:val="bottom"/>
            <w:hideMark/>
          </w:tcPr>
          <w:p w14:paraId="4709B33D" w14:textId="6DA91B07" w:rsidR="00FC19FE" w:rsidRPr="00CE5D9B" w:rsidRDefault="00FC19FE" w:rsidP="00FC19FE">
            <w:pPr>
              <w:autoSpaceDE/>
              <w:autoSpaceDN/>
              <w:adjustRightInd/>
              <w:jc w:val="both"/>
              <w:rPr>
                <w:b/>
                <w:bCs/>
                <w:highlight w:val="yellow"/>
              </w:rPr>
            </w:pPr>
            <w:r w:rsidRPr="00CE5D9B">
              <w:rPr>
                <w:b/>
                <w:bCs/>
              </w:rPr>
              <w:t>Net Change in Cash and cash equivalents</w:t>
            </w:r>
          </w:p>
        </w:tc>
        <w:tc>
          <w:tcPr>
            <w:tcW w:w="1513" w:type="dxa"/>
            <w:tcBorders>
              <w:left w:val="nil"/>
              <w:bottom w:val="nil"/>
              <w:right w:val="nil"/>
            </w:tcBorders>
            <w:shd w:val="clear" w:color="auto" w:fill="auto"/>
            <w:noWrap/>
            <w:vAlign w:val="bottom"/>
          </w:tcPr>
          <w:p w14:paraId="5A2E0273" w14:textId="3BC91FCF" w:rsidR="00FC19FE" w:rsidRPr="00C02E1C" w:rsidRDefault="00A117F2" w:rsidP="00FC19FE">
            <w:pPr>
              <w:autoSpaceDE/>
              <w:autoSpaceDN/>
              <w:adjustRightInd/>
              <w:jc w:val="right"/>
            </w:pPr>
            <w:r w:rsidRPr="00C02E1C">
              <w:t>(10,</w:t>
            </w:r>
            <w:r w:rsidR="002E16A4" w:rsidRPr="00C02E1C">
              <w:t>5</w:t>
            </w:r>
            <w:r w:rsidR="00C02E1C" w:rsidRPr="00C02E1C">
              <w:t>2</w:t>
            </w:r>
            <w:r w:rsidR="002E16A4" w:rsidRPr="00C02E1C">
              <w:t>8</w:t>
            </w:r>
            <w:r w:rsidRPr="00C02E1C">
              <w:t>)</w:t>
            </w:r>
          </w:p>
        </w:tc>
        <w:tc>
          <w:tcPr>
            <w:tcW w:w="281" w:type="dxa"/>
            <w:tcBorders>
              <w:top w:val="nil"/>
              <w:left w:val="nil"/>
              <w:bottom w:val="nil"/>
              <w:right w:val="nil"/>
            </w:tcBorders>
            <w:shd w:val="clear" w:color="auto" w:fill="auto"/>
            <w:noWrap/>
            <w:vAlign w:val="bottom"/>
          </w:tcPr>
          <w:p w14:paraId="3220E712" w14:textId="77777777" w:rsidR="00FC19FE" w:rsidRPr="00762641" w:rsidRDefault="00FC19FE" w:rsidP="00FC19FE">
            <w:pPr>
              <w:autoSpaceDE/>
              <w:autoSpaceDN/>
              <w:adjustRightInd/>
              <w:jc w:val="right"/>
            </w:pPr>
          </w:p>
        </w:tc>
        <w:tc>
          <w:tcPr>
            <w:tcW w:w="1388" w:type="dxa"/>
            <w:tcBorders>
              <w:top w:val="nil"/>
              <w:left w:val="nil"/>
              <w:right w:val="nil"/>
            </w:tcBorders>
            <w:shd w:val="clear" w:color="auto" w:fill="auto"/>
            <w:noWrap/>
            <w:vAlign w:val="bottom"/>
          </w:tcPr>
          <w:p w14:paraId="334D6998" w14:textId="5E435A31" w:rsidR="00FC19FE" w:rsidRPr="00762641" w:rsidRDefault="002E16A4" w:rsidP="00FC19FE">
            <w:pPr>
              <w:autoSpaceDE/>
              <w:autoSpaceDN/>
              <w:adjustRightInd/>
              <w:jc w:val="right"/>
            </w:pPr>
            <w:r>
              <w:t>(560)</w:t>
            </w:r>
          </w:p>
        </w:tc>
      </w:tr>
      <w:tr w:rsidR="00FC19FE" w:rsidRPr="004B1A43" w14:paraId="7D4FDC97" w14:textId="77777777" w:rsidTr="00A117F2">
        <w:trPr>
          <w:trHeight w:hRule="exact" w:val="370"/>
        </w:trPr>
        <w:tc>
          <w:tcPr>
            <w:tcW w:w="6178" w:type="dxa"/>
            <w:tcBorders>
              <w:top w:val="nil"/>
              <w:left w:val="nil"/>
              <w:bottom w:val="nil"/>
              <w:right w:val="nil"/>
            </w:tcBorders>
            <w:shd w:val="clear" w:color="auto" w:fill="auto"/>
            <w:noWrap/>
            <w:vAlign w:val="bottom"/>
            <w:hideMark/>
          </w:tcPr>
          <w:p w14:paraId="028CC928" w14:textId="77777777" w:rsidR="00FC19FE" w:rsidRPr="00762641" w:rsidRDefault="00FC19FE" w:rsidP="00FC19FE">
            <w:pPr>
              <w:autoSpaceDE/>
              <w:autoSpaceDN/>
              <w:adjustRightInd/>
              <w:jc w:val="right"/>
              <w:rPr>
                <w:highlight w:val="yellow"/>
              </w:rPr>
            </w:pPr>
          </w:p>
        </w:tc>
        <w:tc>
          <w:tcPr>
            <w:tcW w:w="1513" w:type="dxa"/>
            <w:tcBorders>
              <w:top w:val="nil"/>
              <w:left w:val="nil"/>
              <w:bottom w:val="nil"/>
              <w:right w:val="nil"/>
            </w:tcBorders>
            <w:shd w:val="clear" w:color="auto" w:fill="auto"/>
            <w:noWrap/>
            <w:vAlign w:val="bottom"/>
          </w:tcPr>
          <w:p w14:paraId="6E0DB32F" w14:textId="77777777" w:rsidR="00FC19FE" w:rsidRPr="00C02E1C" w:rsidRDefault="00FC19FE" w:rsidP="00FC19FE">
            <w:pPr>
              <w:autoSpaceDE/>
              <w:autoSpaceDN/>
              <w:adjustRightInd/>
              <w:jc w:val="right"/>
            </w:pPr>
          </w:p>
        </w:tc>
        <w:tc>
          <w:tcPr>
            <w:tcW w:w="281" w:type="dxa"/>
            <w:tcBorders>
              <w:top w:val="nil"/>
              <w:left w:val="nil"/>
              <w:bottom w:val="nil"/>
              <w:right w:val="nil"/>
            </w:tcBorders>
            <w:shd w:val="clear" w:color="auto" w:fill="auto"/>
            <w:noWrap/>
            <w:vAlign w:val="bottom"/>
          </w:tcPr>
          <w:p w14:paraId="1EA00000" w14:textId="77777777" w:rsidR="00FC19FE" w:rsidRPr="00762641" w:rsidRDefault="00FC19FE" w:rsidP="00FC19FE">
            <w:pPr>
              <w:autoSpaceDE/>
              <w:autoSpaceDN/>
              <w:adjustRightInd/>
              <w:jc w:val="right"/>
            </w:pPr>
          </w:p>
        </w:tc>
        <w:tc>
          <w:tcPr>
            <w:tcW w:w="1388" w:type="dxa"/>
            <w:tcBorders>
              <w:left w:val="nil"/>
              <w:right w:val="nil"/>
            </w:tcBorders>
            <w:shd w:val="clear" w:color="auto" w:fill="auto"/>
            <w:noWrap/>
            <w:vAlign w:val="bottom"/>
          </w:tcPr>
          <w:p w14:paraId="7B2CB605" w14:textId="2F658437" w:rsidR="00FC19FE" w:rsidRPr="00762641" w:rsidRDefault="00FC19FE" w:rsidP="00FC19FE">
            <w:pPr>
              <w:autoSpaceDE/>
              <w:autoSpaceDN/>
              <w:adjustRightInd/>
              <w:jc w:val="right"/>
            </w:pPr>
          </w:p>
        </w:tc>
      </w:tr>
      <w:tr w:rsidR="00FC19FE" w:rsidRPr="004B1A43" w14:paraId="45B9EE81" w14:textId="77777777" w:rsidTr="00A117F2">
        <w:trPr>
          <w:trHeight w:val="219"/>
        </w:trPr>
        <w:tc>
          <w:tcPr>
            <w:tcW w:w="6178" w:type="dxa"/>
            <w:tcBorders>
              <w:top w:val="nil"/>
              <w:left w:val="nil"/>
              <w:bottom w:val="nil"/>
              <w:right w:val="nil"/>
            </w:tcBorders>
            <w:shd w:val="clear" w:color="auto" w:fill="auto"/>
            <w:noWrap/>
            <w:vAlign w:val="bottom"/>
            <w:hideMark/>
          </w:tcPr>
          <w:p w14:paraId="7BCE99F1" w14:textId="77777777" w:rsidR="00FC19FE" w:rsidRPr="00CE5D9B" w:rsidRDefault="00FC19FE" w:rsidP="00FC19FE">
            <w:pPr>
              <w:autoSpaceDE/>
              <w:autoSpaceDN/>
              <w:adjustRightInd/>
              <w:jc w:val="both"/>
              <w:rPr>
                <w:b/>
                <w:bCs/>
              </w:rPr>
            </w:pPr>
            <w:r w:rsidRPr="00CE5D9B">
              <w:rPr>
                <w:b/>
                <w:bCs/>
              </w:rPr>
              <w:t>Cash and Cash Equivalents</w:t>
            </w:r>
          </w:p>
        </w:tc>
        <w:tc>
          <w:tcPr>
            <w:tcW w:w="1513" w:type="dxa"/>
            <w:tcBorders>
              <w:top w:val="nil"/>
              <w:left w:val="nil"/>
              <w:right w:val="nil"/>
            </w:tcBorders>
            <w:shd w:val="clear" w:color="auto" w:fill="auto"/>
            <w:noWrap/>
            <w:vAlign w:val="bottom"/>
          </w:tcPr>
          <w:p w14:paraId="3FF4B3F4" w14:textId="77777777" w:rsidR="00FC19FE" w:rsidRPr="00C02E1C" w:rsidRDefault="00FC19FE" w:rsidP="00FC19FE">
            <w:pPr>
              <w:autoSpaceDE/>
              <w:autoSpaceDN/>
              <w:adjustRightInd/>
              <w:jc w:val="right"/>
              <w:rPr>
                <w:b/>
                <w:bCs/>
              </w:rPr>
            </w:pPr>
          </w:p>
        </w:tc>
        <w:tc>
          <w:tcPr>
            <w:tcW w:w="281" w:type="dxa"/>
            <w:tcBorders>
              <w:top w:val="nil"/>
              <w:left w:val="nil"/>
              <w:bottom w:val="nil"/>
              <w:right w:val="nil"/>
            </w:tcBorders>
            <w:shd w:val="clear" w:color="auto" w:fill="auto"/>
            <w:noWrap/>
            <w:vAlign w:val="bottom"/>
          </w:tcPr>
          <w:p w14:paraId="29A865CB" w14:textId="77777777" w:rsidR="00FC19FE" w:rsidRPr="00DB43FA" w:rsidRDefault="00FC19FE" w:rsidP="00FC19FE">
            <w:pPr>
              <w:autoSpaceDE/>
              <w:autoSpaceDN/>
              <w:adjustRightInd/>
              <w:jc w:val="right"/>
              <w:rPr>
                <w:highlight w:val="yellow"/>
              </w:rPr>
            </w:pPr>
          </w:p>
        </w:tc>
        <w:tc>
          <w:tcPr>
            <w:tcW w:w="1388" w:type="dxa"/>
            <w:tcBorders>
              <w:left w:val="nil"/>
              <w:right w:val="nil"/>
            </w:tcBorders>
            <w:shd w:val="clear" w:color="auto" w:fill="auto"/>
            <w:noWrap/>
            <w:vAlign w:val="bottom"/>
          </w:tcPr>
          <w:p w14:paraId="3C55E188" w14:textId="648DF74A" w:rsidR="00FC19FE" w:rsidRPr="00DB43FA" w:rsidRDefault="00FC19FE" w:rsidP="00FC19FE">
            <w:pPr>
              <w:autoSpaceDE/>
              <w:autoSpaceDN/>
              <w:adjustRightInd/>
              <w:jc w:val="right"/>
              <w:rPr>
                <w:b/>
                <w:bCs/>
                <w:highlight w:val="yellow"/>
              </w:rPr>
            </w:pPr>
          </w:p>
        </w:tc>
      </w:tr>
      <w:tr w:rsidR="00FC19FE" w:rsidRPr="004B1A43" w14:paraId="72B9117D" w14:textId="77777777" w:rsidTr="00A117F2">
        <w:trPr>
          <w:trHeight w:val="219"/>
        </w:trPr>
        <w:tc>
          <w:tcPr>
            <w:tcW w:w="6178" w:type="dxa"/>
            <w:tcBorders>
              <w:top w:val="nil"/>
              <w:left w:val="nil"/>
              <w:bottom w:val="nil"/>
              <w:right w:val="nil"/>
            </w:tcBorders>
            <w:shd w:val="clear" w:color="auto" w:fill="auto"/>
            <w:noWrap/>
            <w:vAlign w:val="bottom"/>
            <w:hideMark/>
          </w:tcPr>
          <w:p w14:paraId="08FFAB60" w14:textId="77777777" w:rsidR="00FC19FE" w:rsidRPr="00CE5D9B" w:rsidRDefault="00FC19FE" w:rsidP="00FC19FE">
            <w:pPr>
              <w:autoSpaceDE/>
              <w:autoSpaceDN/>
              <w:adjustRightInd/>
              <w:jc w:val="both"/>
            </w:pPr>
            <w:r w:rsidRPr="00CE5D9B">
              <w:t>Beginning of year</w:t>
            </w:r>
          </w:p>
        </w:tc>
        <w:tc>
          <w:tcPr>
            <w:tcW w:w="1513" w:type="dxa"/>
            <w:tcBorders>
              <w:top w:val="nil"/>
              <w:left w:val="nil"/>
              <w:bottom w:val="single" w:sz="4" w:space="0" w:color="auto"/>
              <w:right w:val="nil"/>
            </w:tcBorders>
            <w:shd w:val="clear" w:color="auto" w:fill="auto"/>
            <w:noWrap/>
            <w:vAlign w:val="bottom"/>
          </w:tcPr>
          <w:p w14:paraId="535E338D" w14:textId="0ADFE2B3" w:rsidR="00FC19FE" w:rsidRPr="00C02E1C" w:rsidRDefault="00A117F2" w:rsidP="00FC19FE">
            <w:pPr>
              <w:autoSpaceDE/>
              <w:autoSpaceDN/>
              <w:adjustRightInd/>
              <w:jc w:val="right"/>
            </w:pPr>
            <w:r w:rsidRPr="00C02E1C">
              <w:t>12,711</w:t>
            </w:r>
          </w:p>
        </w:tc>
        <w:tc>
          <w:tcPr>
            <w:tcW w:w="281" w:type="dxa"/>
            <w:tcBorders>
              <w:top w:val="nil"/>
              <w:left w:val="nil"/>
              <w:right w:val="nil"/>
            </w:tcBorders>
            <w:shd w:val="clear" w:color="auto" w:fill="auto"/>
            <w:noWrap/>
            <w:vAlign w:val="bottom"/>
          </w:tcPr>
          <w:p w14:paraId="5FEC9278" w14:textId="77777777" w:rsidR="00FC19FE" w:rsidRPr="00CE5D9B" w:rsidRDefault="00FC19FE" w:rsidP="00FC19FE">
            <w:pPr>
              <w:autoSpaceDE/>
              <w:autoSpaceDN/>
              <w:adjustRightInd/>
              <w:jc w:val="right"/>
            </w:pPr>
          </w:p>
        </w:tc>
        <w:tc>
          <w:tcPr>
            <w:tcW w:w="1388" w:type="dxa"/>
            <w:tcBorders>
              <w:top w:val="nil"/>
              <w:left w:val="nil"/>
              <w:bottom w:val="single" w:sz="4" w:space="0" w:color="auto"/>
              <w:right w:val="nil"/>
            </w:tcBorders>
            <w:shd w:val="clear" w:color="auto" w:fill="auto"/>
            <w:noWrap/>
            <w:vAlign w:val="bottom"/>
          </w:tcPr>
          <w:p w14:paraId="11BBF52A" w14:textId="290D3CD1" w:rsidR="00FC19FE" w:rsidRPr="00CE5D9B" w:rsidRDefault="002E16A4" w:rsidP="00FC19FE">
            <w:pPr>
              <w:autoSpaceDE/>
              <w:autoSpaceDN/>
              <w:adjustRightInd/>
              <w:jc w:val="right"/>
            </w:pPr>
            <w:r>
              <w:t>2</w:t>
            </w:r>
            <w:r w:rsidR="00512213">
              <w:t>9</w:t>
            </w:r>
            <w:r>
              <w:t>,360</w:t>
            </w:r>
          </w:p>
        </w:tc>
      </w:tr>
      <w:tr w:rsidR="00FC19FE" w:rsidRPr="004B1A43" w14:paraId="062F0716" w14:textId="77777777" w:rsidTr="00A117F2">
        <w:trPr>
          <w:trHeight w:val="233"/>
        </w:trPr>
        <w:tc>
          <w:tcPr>
            <w:tcW w:w="6178" w:type="dxa"/>
            <w:tcBorders>
              <w:top w:val="nil"/>
              <w:left w:val="nil"/>
              <w:bottom w:val="nil"/>
              <w:right w:val="nil"/>
            </w:tcBorders>
            <w:shd w:val="clear" w:color="auto" w:fill="auto"/>
            <w:noWrap/>
            <w:vAlign w:val="bottom"/>
            <w:hideMark/>
          </w:tcPr>
          <w:p w14:paraId="40E0E252" w14:textId="77777777" w:rsidR="00FC19FE" w:rsidRPr="00CE5D9B" w:rsidRDefault="00FC19FE" w:rsidP="00FC19FE">
            <w:pPr>
              <w:autoSpaceDE/>
              <w:autoSpaceDN/>
              <w:adjustRightInd/>
              <w:ind w:left="144"/>
              <w:jc w:val="both"/>
            </w:pPr>
            <w:r w:rsidRPr="00CE5D9B">
              <w:t>End of year</w:t>
            </w:r>
          </w:p>
        </w:tc>
        <w:tc>
          <w:tcPr>
            <w:tcW w:w="1513" w:type="dxa"/>
            <w:tcBorders>
              <w:top w:val="single" w:sz="4" w:space="0" w:color="auto"/>
              <w:left w:val="nil"/>
              <w:bottom w:val="double" w:sz="4" w:space="0" w:color="auto"/>
              <w:right w:val="nil"/>
            </w:tcBorders>
            <w:shd w:val="clear" w:color="auto" w:fill="auto"/>
            <w:noWrap/>
            <w:vAlign w:val="bottom"/>
          </w:tcPr>
          <w:p w14:paraId="0E572BA6" w14:textId="09617ACB" w:rsidR="00FC19FE" w:rsidRPr="00C02E1C" w:rsidRDefault="00A117F2" w:rsidP="00FC19FE">
            <w:pPr>
              <w:autoSpaceDE/>
              <w:autoSpaceDN/>
              <w:adjustRightInd/>
              <w:jc w:val="right"/>
            </w:pPr>
            <w:r w:rsidRPr="00C02E1C">
              <w:t>$2,</w:t>
            </w:r>
            <w:r w:rsidR="002E16A4" w:rsidRPr="00C02E1C">
              <w:t>1</w:t>
            </w:r>
            <w:r w:rsidR="00C02E1C" w:rsidRPr="00C02E1C">
              <w:t>83</w:t>
            </w:r>
          </w:p>
        </w:tc>
        <w:tc>
          <w:tcPr>
            <w:tcW w:w="281" w:type="dxa"/>
            <w:tcBorders>
              <w:left w:val="nil"/>
              <w:right w:val="nil"/>
            </w:tcBorders>
            <w:shd w:val="clear" w:color="auto" w:fill="auto"/>
            <w:noWrap/>
            <w:vAlign w:val="bottom"/>
          </w:tcPr>
          <w:p w14:paraId="41323A33" w14:textId="77777777" w:rsidR="00FC19FE" w:rsidRPr="00CE5D9B" w:rsidRDefault="00FC19FE" w:rsidP="00FC19FE">
            <w:pPr>
              <w:autoSpaceDE/>
              <w:autoSpaceDN/>
              <w:adjustRightInd/>
              <w:jc w:val="right"/>
            </w:pPr>
          </w:p>
        </w:tc>
        <w:tc>
          <w:tcPr>
            <w:tcW w:w="1388" w:type="dxa"/>
            <w:tcBorders>
              <w:top w:val="single" w:sz="4" w:space="0" w:color="auto"/>
              <w:left w:val="nil"/>
              <w:bottom w:val="double" w:sz="4" w:space="0" w:color="auto"/>
              <w:right w:val="nil"/>
            </w:tcBorders>
            <w:shd w:val="clear" w:color="auto" w:fill="auto"/>
            <w:noWrap/>
            <w:vAlign w:val="bottom"/>
          </w:tcPr>
          <w:p w14:paraId="3EEF8786" w14:textId="750315A8" w:rsidR="00FC19FE" w:rsidRPr="00CE5D9B" w:rsidRDefault="00A117F2" w:rsidP="00FC19FE">
            <w:pPr>
              <w:autoSpaceDE/>
              <w:autoSpaceDN/>
              <w:adjustRightInd/>
              <w:jc w:val="right"/>
            </w:pPr>
            <w:r>
              <w:t>$</w:t>
            </w:r>
            <w:r w:rsidRPr="004E4B85">
              <w:t>2</w:t>
            </w:r>
            <w:r w:rsidR="002E16A4">
              <w:t>8,800</w:t>
            </w:r>
          </w:p>
        </w:tc>
      </w:tr>
      <w:tr w:rsidR="00FC19FE" w:rsidRPr="004B1A43" w14:paraId="23C9EF34" w14:textId="77777777" w:rsidTr="00A117F2">
        <w:trPr>
          <w:trHeight w:hRule="exact" w:val="345"/>
        </w:trPr>
        <w:tc>
          <w:tcPr>
            <w:tcW w:w="6178" w:type="dxa"/>
            <w:tcBorders>
              <w:top w:val="nil"/>
              <w:left w:val="nil"/>
              <w:bottom w:val="nil"/>
              <w:right w:val="nil"/>
            </w:tcBorders>
            <w:shd w:val="clear" w:color="auto" w:fill="auto"/>
            <w:noWrap/>
            <w:vAlign w:val="bottom"/>
            <w:hideMark/>
          </w:tcPr>
          <w:p w14:paraId="552F7D94" w14:textId="77777777" w:rsidR="00FC19FE" w:rsidRPr="00DB43FA" w:rsidRDefault="00FC19FE" w:rsidP="00FC19FE">
            <w:pPr>
              <w:autoSpaceDE/>
              <w:autoSpaceDN/>
              <w:adjustRightInd/>
              <w:ind w:left="144"/>
              <w:jc w:val="both"/>
              <w:rPr>
                <w:highlight w:val="yellow"/>
              </w:rPr>
            </w:pPr>
          </w:p>
        </w:tc>
        <w:tc>
          <w:tcPr>
            <w:tcW w:w="1513" w:type="dxa"/>
            <w:tcBorders>
              <w:top w:val="double" w:sz="4" w:space="0" w:color="auto"/>
              <w:left w:val="nil"/>
              <w:bottom w:val="nil"/>
              <w:right w:val="nil"/>
            </w:tcBorders>
            <w:shd w:val="clear" w:color="auto" w:fill="auto"/>
            <w:noWrap/>
            <w:vAlign w:val="bottom"/>
          </w:tcPr>
          <w:p w14:paraId="19F18583" w14:textId="77777777" w:rsidR="00FC19FE" w:rsidRPr="00C02E1C" w:rsidRDefault="00FC19FE" w:rsidP="00FC19FE">
            <w:pPr>
              <w:autoSpaceDE/>
              <w:autoSpaceDN/>
              <w:adjustRightInd/>
              <w:jc w:val="right"/>
            </w:pPr>
          </w:p>
        </w:tc>
        <w:tc>
          <w:tcPr>
            <w:tcW w:w="281" w:type="dxa"/>
            <w:tcBorders>
              <w:left w:val="nil"/>
              <w:bottom w:val="nil"/>
              <w:right w:val="nil"/>
            </w:tcBorders>
            <w:shd w:val="clear" w:color="auto" w:fill="auto"/>
            <w:noWrap/>
            <w:vAlign w:val="bottom"/>
          </w:tcPr>
          <w:p w14:paraId="619BB7E6" w14:textId="77777777" w:rsidR="00FC19FE" w:rsidRPr="00DB43FA" w:rsidRDefault="00FC19FE" w:rsidP="00FC19FE">
            <w:pPr>
              <w:autoSpaceDE/>
              <w:autoSpaceDN/>
              <w:adjustRightInd/>
              <w:jc w:val="right"/>
              <w:rPr>
                <w:highlight w:val="yellow"/>
              </w:rPr>
            </w:pPr>
          </w:p>
        </w:tc>
        <w:tc>
          <w:tcPr>
            <w:tcW w:w="1388" w:type="dxa"/>
            <w:tcBorders>
              <w:top w:val="double" w:sz="4" w:space="0" w:color="auto"/>
              <w:left w:val="nil"/>
              <w:right w:val="nil"/>
            </w:tcBorders>
            <w:shd w:val="clear" w:color="auto" w:fill="auto"/>
            <w:noWrap/>
            <w:vAlign w:val="bottom"/>
          </w:tcPr>
          <w:p w14:paraId="2DEACD12" w14:textId="5497AF25" w:rsidR="00FC19FE" w:rsidRPr="00DB43FA" w:rsidRDefault="00FC19FE" w:rsidP="00FC19FE">
            <w:pPr>
              <w:autoSpaceDE/>
              <w:autoSpaceDN/>
              <w:adjustRightInd/>
              <w:jc w:val="right"/>
              <w:rPr>
                <w:highlight w:val="yellow"/>
              </w:rPr>
            </w:pPr>
          </w:p>
        </w:tc>
      </w:tr>
      <w:tr w:rsidR="00FC19FE" w:rsidRPr="004B1A43" w14:paraId="6E06CF7F" w14:textId="77777777" w:rsidTr="00A117F2">
        <w:trPr>
          <w:trHeight w:val="219"/>
        </w:trPr>
        <w:tc>
          <w:tcPr>
            <w:tcW w:w="6178" w:type="dxa"/>
            <w:tcBorders>
              <w:top w:val="nil"/>
              <w:left w:val="nil"/>
              <w:bottom w:val="nil"/>
              <w:right w:val="nil"/>
            </w:tcBorders>
            <w:shd w:val="clear" w:color="auto" w:fill="auto"/>
            <w:noWrap/>
            <w:vAlign w:val="bottom"/>
            <w:hideMark/>
          </w:tcPr>
          <w:p w14:paraId="14EA5232" w14:textId="77777777" w:rsidR="00FC19FE" w:rsidRPr="00C02E1C" w:rsidRDefault="00FC19FE" w:rsidP="00FC19FE">
            <w:pPr>
              <w:autoSpaceDE/>
              <w:autoSpaceDN/>
              <w:adjustRightInd/>
              <w:jc w:val="both"/>
              <w:rPr>
                <w:b/>
                <w:bCs/>
              </w:rPr>
            </w:pPr>
            <w:r w:rsidRPr="00C02E1C">
              <w:rPr>
                <w:b/>
                <w:bCs/>
              </w:rPr>
              <w:t>Supplemental Cash Flow Information</w:t>
            </w:r>
          </w:p>
        </w:tc>
        <w:tc>
          <w:tcPr>
            <w:tcW w:w="1513" w:type="dxa"/>
            <w:tcBorders>
              <w:top w:val="nil"/>
              <w:left w:val="nil"/>
              <w:bottom w:val="nil"/>
              <w:right w:val="nil"/>
            </w:tcBorders>
            <w:shd w:val="clear" w:color="auto" w:fill="auto"/>
            <w:noWrap/>
            <w:vAlign w:val="bottom"/>
          </w:tcPr>
          <w:p w14:paraId="7C5FF365" w14:textId="77777777" w:rsidR="00FC19FE" w:rsidRPr="00C02E1C" w:rsidRDefault="00FC19FE" w:rsidP="00FC19FE">
            <w:pPr>
              <w:autoSpaceDE/>
              <w:autoSpaceDN/>
              <w:adjustRightInd/>
              <w:jc w:val="right"/>
            </w:pPr>
          </w:p>
        </w:tc>
        <w:tc>
          <w:tcPr>
            <w:tcW w:w="281" w:type="dxa"/>
            <w:tcBorders>
              <w:top w:val="nil"/>
              <w:left w:val="nil"/>
              <w:bottom w:val="nil"/>
              <w:right w:val="nil"/>
            </w:tcBorders>
            <w:shd w:val="clear" w:color="auto" w:fill="auto"/>
            <w:noWrap/>
            <w:vAlign w:val="bottom"/>
          </w:tcPr>
          <w:p w14:paraId="0809627B" w14:textId="77777777" w:rsidR="00FC19FE" w:rsidRPr="00CE5D9B" w:rsidRDefault="00FC19FE" w:rsidP="00FC19FE">
            <w:pPr>
              <w:autoSpaceDE/>
              <w:autoSpaceDN/>
              <w:adjustRightInd/>
              <w:jc w:val="right"/>
            </w:pPr>
          </w:p>
        </w:tc>
        <w:tc>
          <w:tcPr>
            <w:tcW w:w="1388" w:type="dxa"/>
            <w:tcBorders>
              <w:left w:val="nil"/>
              <w:right w:val="nil"/>
            </w:tcBorders>
            <w:shd w:val="clear" w:color="auto" w:fill="auto"/>
            <w:noWrap/>
            <w:vAlign w:val="bottom"/>
          </w:tcPr>
          <w:p w14:paraId="6B13B4AA" w14:textId="2375DEB4" w:rsidR="00FC19FE" w:rsidRPr="00CE5D9B" w:rsidRDefault="00FC19FE" w:rsidP="00FC19FE">
            <w:pPr>
              <w:autoSpaceDE/>
              <w:autoSpaceDN/>
              <w:adjustRightInd/>
              <w:jc w:val="right"/>
            </w:pPr>
          </w:p>
        </w:tc>
      </w:tr>
      <w:tr w:rsidR="00FC19FE" w:rsidRPr="004B1A43" w14:paraId="1361A7BF" w14:textId="77777777" w:rsidTr="00A117F2">
        <w:trPr>
          <w:trHeight w:val="219"/>
        </w:trPr>
        <w:tc>
          <w:tcPr>
            <w:tcW w:w="6178" w:type="dxa"/>
            <w:tcBorders>
              <w:top w:val="nil"/>
              <w:left w:val="nil"/>
              <w:bottom w:val="nil"/>
              <w:right w:val="nil"/>
            </w:tcBorders>
            <w:shd w:val="clear" w:color="auto" w:fill="auto"/>
            <w:noWrap/>
            <w:vAlign w:val="bottom"/>
            <w:hideMark/>
          </w:tcPr>
          <w:p w14:paraId="16533127" w14:textId="0D859CDE" w:rsidR="00FC19FE" w:rsidRPr="00C02E1C" w:rsidRDefault="00FC19FE" w:rsidP="00FC19FE">
            <w:pPr>
              <w:autoSpaceDE/>
              <w:autoSpaceDN/>
              <w:adjustRightInd/>
              <w:jc w:val="both"/>
            </w:pPr>
            <w:r w:rsidRPr="00C02E1C">
              <w:t>Cash (received) for income taxes, net</w:t>
            </w:r>
          </w:p>
        </w:tc>
        <w:tc>
          <w:tcPr>
            <w:tcW w:w="1513" w:type="dxa"/>
            <w:tcBorders>
              <w:top w:val="nil"/>
              <w:left w:val="nil"/>
              <w:bottom w:val="nil"/>
              <w:right w:val="nil"/>
            </w:tcBorders>
            <w:shd w:val="clear" w:color="auto" w:fill="auto"/>
            <w:noWrap/>
            <w:vAlign w:val="bottom"/>
          </w:tcPr>
          <w:p w14:paraId="10915BF2" w14:textId="7A1811FA" w:rsidR="00FC19FE" w:rsidRPr="00C02E1C" w:rsidRDefault="00D860EB" w:rsidP="00F71D68">
            <w:pPr>
              <w:autoSpaceDE/>
              <w:autoSpaceDN/>
              <w:adjustRightInd/>
              <w:jc w:val="right"/>
            </w:pPr>
            <w:r w:rsidRPr="00C02E1C">
              <w:t>$(110)</w:t>
            </w:r>
          </w:p>
        </w:tc>
        <w:tc>
          <w:tcPr>
            <w:tcW w:w="281" w:type="dxa"/>
            <w:tcBorders>
              <w:top w:val="nil"/>
              <w:left w:val="nil"/>
              <w:bottom w:val="nil"/>
              <w:right w:val="nil"/>
            </w:tcBorders>
            <w:shd w:val="clear" w:color="auto" w:fill="auto"/>
            <w:noWrap/>
            <w:vAlign w:val="bottom"/>
          </w:tcPr>
          <w:p w14:paraId="3380FDED" w14:textId="77777777" w:rsidR="00FC19FE" w:rsidRPr="002E16A4" w:rsidRDefault="00FC19FE" w:rsidP="00FC19FE">
            <w:pPr>
              <w:autoSpaceDE/>
              <w:autoSpaceDN/>
              <w:adjustRightInd/>
              <w:jc w:val="right"/>
              <w:rPr>
                <w:highlight w:val="yellow"/>
              </w:rPr>
            </w:pPr>
          </w:p>
        </w:tc>
        <w:tc>
          <w:tcPr>
            <w:tcW w:w="1388" w:type="dxa"/>
            <w:tcBorders>
              <w:left w:val="nil"/>
              <w:bottom w:val="nil"/>
              <w:right w:val="nil"/>
            </w:tcBorders>
            <w:shd w:val="clear" w:color="auto" w:fill="auto"/>
            <w:noWrap/>
            <w:vAlign w:val="bottom"/>
          </w:tcPr>
          <w:p w14:paraId="769A2A9C" w14:textId="5E0B079A" w:rsidR="00FC19FE" w:rsidRPr="002E16A4" w:rsidRDefault="00D860EB" w:rsidP="00FC19FE">
            <w:pPr>
              <w:autoSpaceDE/>
              <w:autoSpaceDN/>
              <w:adjustRightInd/>
              <w:jc w:val="right"/>
              <w:rPr>
                <w:highlight w:val="yellow"/>
              </w:rPr>
            </w:pPr>
            <w:r w:rsidRPr="009E43D8">
              <w:t>$</w:t>
            </w:r>
            <w:r w:rsidR="002E16A4" w:rsidRPr="009E43D8">
              <w:t>66</w:t>
            </w:r>
          </w:p>
        </w:tc>
      </w:tr>
      <w:tr w:rsidR="00FC19FE" w:rsidRPr="004B1A43" w14:paraId="78933B4C" w14:textId="77777777" w:rsidTr="00F71D68">
        <w:trPr>
          <w:trHeight w:val="219"/>
        </w:trPr>
        <w:tc>
          <w:tcPr>
            <w:tcW w:w="6178" w:type="dxa"/>
            <w:tcBorders>
              <w:top w:val="nil"/>
              <w:left w:val="nil"/>
              <w:bottom w:val="nil"/>
              <w:right w:val="nil"/>
            </w:tcBorders>
            <w:shd w:val="clear" w:color="auto" w:fill="auto"/>
            <w:noWrap/>
            <w:vAlign w:val="bottom"/>
          </w:tcPr>
          <w:p w14:paraId="246D14A5" w14:textId="40861479" w:rsidR="00FC19FE" w:rsidRPr="002E16A4" w:rsidRDefault="00FC19FE" w:rsidP="00FC19FE">
            <w:pPr>
              <w:autoSpaceDE/>
              <w:autoSpaceDN/>
              <w:adjustRightInd/>
              <w:jc w:val="both"/>
              <w:rPr>
                <w:highlight w:val="yellow"/>
              </w:rPr>
            </w:pPr>
          </w:p>
        </w:tc>
        <w:tc>
          <w:tcPr>
            <w:tcW w:w="1513" w:type="dxa"/>
            <w:tcBorders>
              <w:top w:val="nil"/>
              <w:left w:val="nil"/>
              <w:bottom w:val="nil"/>
              <w:right w:val="nil"/>
            </w:tcBorders>
            <w:shd w:val="clear" w:color="auto" w:fill="auto"/>
            <w:noWrap/>
            <w:vAlign w:val="bottom"/>
          </w:tcPr>
          <w:p w14:paraId="07BDB1A5" w14:textId="23D24308" w:rsidR="00FC19FE" w:rsidRPr="002E16A4" w:rsidRDefault="00FC19FE" w:rsidP="00FC19FE">
            <w:pPr>
              <w:autoSpaceDE/>
              <w:autoSpaceDN/>
              <w:adjustRightInd/>
              <w:jc w:val="right"/>
              <w:rPr>
                <w:highlight w:val="yellow"/>
              </w:rPr>
            </w:pPr>
          </w:p>
        </w:tc>
        <w:tc>
          <w:tcPr>
            <w:tcW w:w="281" w:type="dxa"/>
            <w:tcBorders>
              <w:top w:val="nil"/>
              <w:left w:val="nil"/>
              <w:bottom w:val="nil"/>
              <w:right w:val="nil"/>
            </w:tcBorders>
            <w:shd w:val="clear" w:color="auto" w:fill="auto"/>
            <w:noWrap/>
            <w:vAlign w:val="bottom"/>
          </w:tcPr>
          <w:p w14:paraId="1354C728" w14:textId="77777777" w:rsidR="00FC19FE" w:rsidRPr="002E16A4" w:rsidRDefault="00FC19FE" w:rsidP="00FC19FE">
            <w:pPr>
              <w:autoSpaceDE/>
              <w:autoSpaceDN/>
              <w:adjustRightInd/>
              <w:jc w:val="right"/>
              <w:rPr>
                <w:highlight w:val="yellow"/>
              </w:rPr>
            </w:pPr>
          </w:p>
        </w:tc>
        <w:tc>
          <w:tcPr>
            <w:tcW w:w="1388" w:type="dxa"/>
            <w:tcBorders>
              <w:top w:val="nil"/>
              <w:left w:val="nil"/>
              <w:bottom w:val="nil"/>
              <w:right w:val="nil"/>
            </w:tcBorders>
            <w:shd w:val="clear" w:color="auto" w:fill="auto"/>
            <w:noWrap/>
            <w:vAlign w:val="bottom"/>
          </w:tcPr>
          <w:p w14:paraId="3669168F" w14:textId="5724CD5B" w:rsidR="00FC19FE" w:rsidRPr="002E16A4" w:rsidRDefault="00FC19FE" w:rsidP="00FC19FE">
            <w:pPr>
              <w:autoSpaceDE/>
              <w:autoSpaceDN/>
              <w:adjustRightInd/>
              <w:jc w:val="right"/>
              <w:rPr>
                <w:highlight w:val="yellow"/>
              </w:rPr>
            </w:pPr>
          </w:p>
        </w:tc>
      </w:tr>
      <w:tr w:rsidR="00FC19FE" w:rsidRPr="004B1A43" w14:paraId="4CF1B255" w14:textId="77777777" w:rsidTr="00FC19FE">
        <w:trPr>
          <w:trHeight w:val="219"/>
        </w:trPr>
        <w:tc>
          <w:tcPr>
            <w:tcW w:w="6178" w:type="dxa"/>
            <w:tcBorders>
              <w:top w:val="nil"/>
              <w:left w:val="nil"/>
              <w:bottom w:val="nil"/>
              <w:right w:val="nil"/>
            </w:tcBorders>
            <w:shd w:val="clear" w:color="auto" w:fill="auto"/>
            <w:noWrap/>
            <w:vAlign w:val="bottom"/>
          </w:tcPr>
          <w:p w14:paraId="4356BA29" w14:textId="77777777" w:rsidR="00FC19FE" w:rsidRPr="004E4B85" w:rsidRDefault="00FC19FE" w:rsidP="00FC19FE">
            <w:pPr>
              <w:autoSpaceDE/>
              <w:autoSpaceDN/>
              <w:adjustRightInd/>
              <w:jc w:val="both"/>
            </w:pPr>
          </w:p>
        </w:tc>
        <w:tc>
          <w:tcPr>
            <w:tcW w:w="1513" w:type="dxa"/>
            <w:tcBorders>
              <w:top w:val="nil"/>
              <w:left w:val="nil"/>
              <w:bottom w:val="nil"/>
              <w:right w:val="nil"/>
            </w:tcBorders>
            <w:shd w:val="clear" w:color="auto" w:fill="auto"/>
            <w:noWrap/>
            <w:vAlign w:val="bottom"/>
          </w:tcPr>
          <w:p w14:paraId="713091EE" w14:textId="77777777" w:rsidR="00FC19FE" w:rsidRPr="007D5FD3" w:rsidRDefault="00FC19FE" w:rsidP="00FC19FE">
            <w:pPr>
              <w:autoSpaceDE/>
              <w:autoSpaceDN/>
              <w:adjustRightInd/>
              <w:jc w:val="right"/>
              <w:rPr>
                <w:highlight w:val="yellow"/>
              </w:rPr>
            </w:pPr>
          </w:p>
        </w:tc>
        <w:tc>
          <w:tcPr>
            <w:tcW w:w="281" w:type="dxa"/>
            <w:tcBorders>
              <w:top w:val="nil"/>
              <w:left w:val="nil"/>
              <w:bottom w:val="nil"/>
              <w:right w:val="nil"/>
            </w:tcBorders>
            <w:shd w:val="clear" w:color="auto" w:fill="auto"/>
            <w:noWrap/>
            <w:vAlign w:val="bottom"/>
          </w:tcPr>
          <w:p w14:paraId="6F5B4BE6" w14:textId="77777777" w:rsidR="00FC19FE" w:rsidRPr="004E4B85" w:rsidRDefault="00FC19FE" w:rsidP="00FC19FE">
            <w:pPr>
              <w:autoSpaceDE/>
              <w:autoSpaceDN/>
              <w:adjustRightInd/>
              <w:jc w:val="right"/>
            </w:pPr>
          </w:p>
        </w:tc>
        <w:tc>
          <w:tcPr>
            <w:tcW w:w="1388" w:type="dxa"/>
            <w:tcBorders>
              <w:top w:val="nil"/>
              <w:left w:val="nil"/>
              <w:bottom w:val="nil"/>
              <w:right w:val="nil"/>
            </w:tcBorders>
            <w:shd w:val="clear" w:color="auto" w:fill="auto"/>
            <w:noWrap/>
            <w:vAlign w:val="bottom"/>
          </w:tcPr>
          <w:p w14:paraId="1C7B9AE3" w14:textId="7B23B6AF" w:rsidR="00FC19FE" w:rsidRPr="007D5FD3" w:rsidRDefault="00FC19FE" w:rsidP="00FC19FE">
            <w:pPr>
              <w:autoSpaceDE/>
              <w:autoSpaceDN/>
              <w:adjustRightInd/>
              <w:jc w:val="right"/>
              <w:rPr>
                <w:highlight w:val="yellow"/>
              </w:rPr>
            </w:pPr>
          </w:p>
        </w:tc>
      </w:tr>
      <w:tr w:rsidR="00FC19FE" w:rsidRPr="004B1A43" w14:paraId="5FB4F487" w14:textId="77777777" w:rsidTr="00FC19FE">
        <w:trPr>
          <w:trHeight w:val="219"/>
        </w:trPr>
        <w:tc>
          <w:tcPr>
            <w:tcW w:w="6178" w:type="dxa"/>
            <w:tcBorders>
              <w:top w:val="nil"/>
              <w:left w:val="nil"/>
              <w:bottom w:val="nil"/>
              <w:right w:val="nil"/>
            </w:tcBorders>
            <w:shd w:val="clear" w:color="auto" w:fill="auto"/>
            <w:noWrap/>
            <w:vAlign w:val="bottom"/>
          </w:tcPr>
          <w:p w14:paraId="6F5345BC" w14:textId="77777777" w:rsidR="00FC19FE" w:rsidRPr="004E4B85" w:rsidRDefault="00FC19FE" w:rsidP="00FC19FE">
            <w:pPr>
              <w:autoSpaceDE/>
              <w:autoSpaceDN/>
              <w:adjustRightInd/>
              <w:jc w:val="both"/>
            </w:pPr>
          </w:p>
        </w:tc>
        <w:tc>
          <w:tcPr>
            <w:tcW w:w="1513" w:type="dxa"/>
            <w:tcBorders>
              <w:top w:val="nil"/>
              <w:left w:val="nil"/>
              <w:bottom w:val="nil"/>
              <w:right w:val="nil"/>
            </w:tcBorders>
            <w:shd w:val="clear" w:color="auto" w:fill="auto"/>
            <w:noWrap/>
            <w:vAlign w:val="bottom"/>
          </w:tcPr>
          <w:p w14:paraId="68A73BD9" w14:textId="77777777" w:rsidR="00FC19FE" w:rsidRPr="007D5FD3" w:rsidRDefault="00FC19FE" w:rsidP="00FC19FE">
            <w:pPr>
              <w:autoSpaceDE/>
              <w:autoSpaceDN/>
              <w:adjustRightInd/>
              <w:jc w:val="right"/>
              <w:rPr>
                <w:highlight w:val="yellow"/>
              </w:rPr>
            </w:pPr>
          </w:p>
        </w:tc>
        <w:tc>
          <w:tcPr>
            <w:tcW w:w="281" w:type="dxa"/>
            <w:tcBorders>
              <w:top w:val="nil"/>
              <w:left w:val="nil"/>
              <w:bottom w:val="nil"/>
              <w:right w:val="nil"/>
            </w:tcBorders>
            <w:shd w:val="clear" w:color="auto" w:fill="auto"/>
            <w:noWrap/>
            <w:vAlign w:val="bottom"/>
          </w:tcPr>
          <w:p w14:paraId="72AFEC17" w14:textId="77777777" w:rsidR="00FC19FE" w:rsidRPr="004E4B85" w:rsidRDefault="00FC19FE" w:rsidP="00FC19FE">
            <w:pPr>
              <w:autoSpaceDE/>
              <w:autoSpaceDN/>
              <w:adjustRightInd/>
              <w:jc w:val="right"/>
            </w:pPr>
          </w:p>
        </w:tc>
        <w:tc>
          <w:tcPr>
            <w:tcW w:w="1388" w:type="dxa"/>
            <w:tcBorders>
              <w:top w:val="nil"/>
              <w:left w:val="nil"/>
              <w:bottom w:val="nil"/>
              <w:right w:val="nil"/>
            </w:tcBorders>
            <w:shd w:val="clear" w:color="auto" w:fill="auto"/>
            <w:noWrap/>
            <w:vAlign w:val="bottom"/>
          </w:tcPr>
          <w:p w14:paraId="62011CA6" w14:textId="24244652" w:rsidR="00FC19FE" w:rsidRPr="007D5FD3" w:rsidRDefault="00FC19FE" w:rsidP="00FC19FE">
            <w:pPr>
              <w:autoSpaceDE/>
              <w:autoSpaceDN/>
              <w:adjustRightInd/>
              <w:jc w:val="right"/>
              <w:rPr>
                <w:highlight w:val="yellow"/>
              </w:rPr>
            </w:pPr>
          </w:p>
        </w:tc>
      </w:tr>
      <w:tr w:rsidR="00FC19FE" w:rsidRPr="004B1A43" w14:paraId="6FB05F5E" w14:textId="77777777" w:rsidTr="00FC19FE">
        <w:trPr>
          <w:trHeight w:val="219"/>
        </w:trPr>
        <w:tc>
          <w:tcPr>
            <w:tcW w:w="6178" w:type="dxa"/>
            <w:tcBorders>
              <w:top w:val="nil"/>
              <w:left w:val="nil"/>
              <w:bottom w:val="nil"/>
              <w:right w:val="nil"/>
            </w:tcBorders>
            <w:shd w:val="clear" w:color="auto" w:fill="auto"/>
            <w:noWrap/>
            <w:vAlign w:val="bottom"/>
          </w:tcPr>
          <w:p w14:paraId="3C15D249" w14:textId="1E4106D9" w:rsidR="00FC19FE" w:rsidRPr="00F71D68" w:rsidRDefault="00FC19FE" w:rsidP="00FC19FE">
            <w:pPr>
              <w:autoSpaceDE/>
              <w:autoSpaceDN/>
              <w:adjustRightInd/>
              <w:jc w:val="both"/>
              <w:rPr>
                <w:i/>
                <w:iCs/>
              </w:rPr>
            </w:pPr>
            <w:r w:rsidRPr="00F71D68">
              <w:rPr>
                <w:i/>
                <w:iCs/>
              </w:rPr>
              <w:t>See notes to consolidated financial statements.</w:t>
            </w:r>
          </w:p>
        </w:tc>
        <w:tc>
          <w:tcPr>
            <w:tcW w:w="1513" w:type="dxa"/>
            <w:tcBorders>
              <w:top w:val="nil"/>
              <w:left w:val="nil"/>
              <w:bottom w:val="nil"/>
              <w:right w:val="nil"/>
            </w:tcBorders>
            <w:shd w:val="clear" w:color="auto" w:fill="auto"/>
            <w:noWrap/>
            <w:vAlign w:val="bottom"/>
          </w:tcPr>
          <w:p w14:paraId="2C30FBEF" w14:textId="77777777" w:rsidR="00FC19FE" w:rsidRPr="004E4B85" w:rsidRDefault="00FC19FE" w:rsidP="00FC19FE">
            <w:pPr>
              <w:autoSpaceDE/>
              <w:autoSpaceDN/>
              <w:adjustRightInd/>
              <w:jc w:val="right"/>
            </w:pPr>
          </w:p>
        </w:tc>
        <w:tc>
          <w:tcPr>
            <w:tcW w:w="281" w:type="dxa"/>
            <w:tcBorders>
              <w:top w:val="nil"/>
              <w:left w:val="nil"/>
              <w:bottom w:val="nil"/>
              <w:right w:val="nil"/>
            </w:tcBorders>
            <w:shd w:val="clear" w:color="auto" w:fill="auto"/>
            <w:noWrap/>
            <w:vAlign w:val="bottom"/>
          </w:tcPr>
          <w:p w14:paraId="6E3DC940" w14:textId="77777777" w:rsidR="00FC19FE" w:rsidRPr="004E4B85" w:rsidRDefault="00FC19FE" w:rsidP="00FC19FE">
            <w:pPr>
              <w:autoSpaceDE/>
              <w:autoSpaceDN/>
              <w:adjustRightInd/>
              <w:jc w:val="right"/>
            </w:pPr>
          </w:p>
        </w:tc>
        <w:tc>
          <w:tcPr>
            <w:tcW w:w="1388" w:type="dxa"/>
            <w:tcBorders>
              <w:top w:val="nil"/>
              <w:left w:val="nil"/>
              <w:bottom w:val="nil"/>
              <w:right w:val="nil"/>
            </w:tcBorders>
            <w:shd w:val="clear" w:color="auto" w:fill="auto"/>
            <w:noWrap/>
            <w:vAlign w:val="bottom"/>
          </w:tcPr>
          <w:p w14:paraId="535E9CC0" w14:textId="77777777" w:rsidR="00FC19FE" w:rsidRPr="004E4B85" w:rsidRDefault="00FC19FE" w:rsidP="00FC19FE">
            <w:pPr>
              <w:autoSpaceDE/>
              <w:autoSpaceDN/>
              <w:adjustRightInd/>
              <w:jc w:val="right"/>
            </w:pPr>
          </w:p>
        </w:tc>
      </w:tr>
    </w:tbl>
    <w:p w14:paraId="5C478F62" w14:textId="77777777" w:rsidR="00206116" w:rsidRPr="004B1A43" w:rsidRDefault="00206116" w:rsidP="00206116">
      <w:pPr>
        <w:autoSpaceDE/>
        <w:autoSpaceDN/>
        <w:adjustRightInd/>
        <w:ind w:left="720"/>
        <w:jc w:val="both"/>
        <w:rPr>
          <w:sz w:val="22"/>
          <w:szCs w:val="22"/>
        </w:rPr>
      </w:pPr>
    </w:p>
    <w:p w14:paraId="405494B8" w14:textId="77777777" w:rsidR="00206116" w:rsidRPr="0061112F" w:rsidRDefault="00206116" w:rsidP="00206116">
      <w:pPr>
        <w:autoSpaceDE/>
        <w:autoSpaceDN/>
        <w:adjustRightInd/>
        <w:spacing w:line="320" w:lineRule="atLeast"/>
        <w:ind w:left="720"/>
        <w:jc w:val="center"/>
        <w:rPr>
          <w:sz w:val="20"/>
          <w:szCs w:val="20"/>
        </w:rPr>
        <w:sectPr w:rsidR="00206116" w:rsidRPr="0061112F" w:rsidSect="007633AA">
          <w:footerReference w:type="first" r:id="rId15"/>
          <w:pgSz w:w="12240" w:h="15840" w:code="1"/>
          <w:pgMar w:top="1440" w:right="1440" w:bottom="720" w:left="1440" w:header="936" w:footer="432" w:gutter="0"/>
          <w:pgNumType w:fmt="upperRoman"/>
          <w:cols w:space="720"/>
          <w:titlePg/>
          <w:docGrid w:linePitch="326"/>
        </w:sectPr>
      </w:pPr>
    </w:p>
    <w:p w14:paraId="07DA22D3" w14:textId="1EDB1C40" w:rsidR="00206116" w:rsidRPr="00FF2EC9" w:rsidRDefault="00206116" w:rsidP="00206116">
      <w:pPr>
        <w:keepNext/>
        <w:autoSpaceDE/>
        <w:autoSpaceDN/>
        <w:adjustRightInd/>
        <w:ind w:left="360"/>
        <w:jc w:val="both"/>
        <w:rPr>
          <w:b/>
          <w:bCs/>
        </w:rPr>
      </w:pPr>
      <w:bookmarkStart w:id="40" w:name="OLE_LINK1"/>
      <w:bookmarkStart w:id="41" w:name="OLE_LINK2"/>
      <w:r w:rsidRPr="0061112F">
        <w:rPr>
          <w:b/>
          <w:bCs/>
          <w:sz w:val="22"/>
          <w:szCs w:val="22"/>
        </w:rPr>
        <w:lastRenderedPageBreak/>
        <w:t>1.</w:t>
      </w:r>
      <w:r w:rsidRPr="0061112F">
        <w:rPr>
          <w:b/>
          <w:bCs/>
          <w:sz w:val="22"/>
          <w:szCs w:val="22"/>
        </w:rPr>
        <w:tab/>
      </w:r>
      <w:r w:rsidRPr="00FF2EC9">
        <w:rPr>
          <w:b/>
          <w:bCs/>
        </w:rPr>
        <w:t xml:space="preserve">Organization </w:t>
      </w:r>
    </w:p>
    <w:bookmarkEnd w:id="40"/>
    <w:bookmarkEnd w:id="41"/>
    <w:p w14:paraId="5676B32C" w14:textId="77777777" w:rsidR="00206116" w:rsidRPr="00FF2EC9" w:rsidRDefault="00206116" w:rsidP="00206116">
      <w:pPr>
        <w:keepNext/>
        <w:autoSpaceDE/>
        <w:autoSpaceDN/>
        <w:adjustRightInd/>
        <w:spacing w:line="180" w:lineRule="auto"/>
        <w:ind w:left="720"/>
        <w:jc w:val="both"/>
        <w:outlineLvl w:val="1"/>
        <w:rPr>
          <w:b/>
          <w:bCs/>
          <w:i/>
        </w:rPr>
      </w:pPr>
    </w:p>
    <w:p w14:paraId="6DBD6382" w14:textId="59A57265" w:rsidR="00736865" w:rsidRPr="00736865" w:rsidRDefault="00736865" w:rsidP="00736865">
      <w:pPr>
        <w:autoSpaceDE/>
        <w:autoSpaceDN/>
        <w:adjustRightInd/>
        <w:spacing w:after="160" w:line="259" w:lineRule="auto"/>
        <w:ind w:left="768"/>
        <w:contextualSpacing/>
        <w:jc w:val="both"/>
        <w:rPr>
          <w:b/>
          <w:bCs/>
          <w:i/>
        </w:rPr>
      </w:pPr>
      <w:r w:rsidRPr="00736865">
        <w:rPr>
          <w:b/>
          <w:bCs/>
          <w:i/>
        </w:rPr>
        <w:t xml:space="preserve">New Hampshire </w:t>
      </w:r>
      <w:r w:rsidR="008D3F77">
        <w:rPr>
          <w:b/>
          <w:bCs/>
          <w:i/>
        </w:rPr>
        <w:t xml:space="preserve">Operations </w:t>
      </w:r>
    </w:p>
    <w:p w14:paraId="769618DB" w14:textId="77777777" w:rsidR="00736865" w:rsidRDefault="00736865" w:rsidP="00736865">
      <w:pPr>
        <w:autoSpaceDE/>
        <w:autoSpaceDN/>
        <w:adjustRightInd/>
        <w:spacing w:after="160" w:line="259" w:lineRule="auto"/>
        <w:ind w:left="768"/>
        <w:contextualSpacing/>
        <w:jc w:val="both"/>
      </w:pPr>
    </w:p>
    <w:p w14:paraId="6C670354" w14:textId="63D854CD" w:rsidR="00C74515" w:rsidRDefault="00C74515" w:rsidP="00736865">
      <w:pPr>
        <w:autoSpaceDE/>
        <w:autoSpaceDN/>
        <w:adjustRightInd/>
        <w:spacing w:after="160" w:line="259" w:lineRule="auto"/>
        <w:ind w:left="768"/>
        <w:contextualSpacing/>
        <w:jc w:val="both"/>
      </w:pPr>
      <w:r>
        <w:t>On December 31, 2019, the Company completed the acquisition of New Hampshire</w:t>
      </w:r>
      <w:r w:rsidR="00C06A9B">
        <w:t xml:space="preserve"> Granite </w:t>
      </w:r>
      <w:r>
        <w:t xml:space="preserve">(“NH”) from LICT Corporation (“LICT”), </w:t>
      </w:r>
      <w:r w:rsidR="00CB0A9B">
        <w:t xml:space="preserve">the </w:t>
      </w:r>
      <w:r>
        <w:t xml:space="preserve">publicly traded company that spun off CIBL in 2007. The acquired operations consist of Bretton Woods Telephone Company (“BWTC”), a Rural Local Exchange Carrier serving the Mt. Washington/Carroll, New Hampshire area, and World Surfer, Inc. (“WS”), a Competitive Local Exchange Carrier serving </w:t>
      </w:r>
      <w:r w:rsidR="00CB0A9B">
        <w:t xml:space="preserve">generally </w:t>
      </w:r>
      <w:r>
        <w:t>the same area.</w:t>
      </w:r>
    </w:p>
    <w:p w14:paraId="01B6570F" w14:textId="77777777" w:rsidR="00C74515" w:rsidRDefault="00C74515" w:rsidP="00736865">
      <w:pPr>
        <w:autoSpaceDE/>
        <w:autoSpaceDN/>
        <w:adjustRightInd/>
        <w:spacing w:after="160" w:line="259" w:lineRule="auto"/>
        <w:ind w:left="768"/>
        <w:contextualSpacing/>
        <w:jc w:val="both"/>
      </w:pPr>
    </w:p>
    <w:p w14:paraId="049C1CC4" w14:textId="475A8F1E" w:rsidR="00206116" w:rsidRPr="00FF2EC9" w:rsidRDefault="00C74515" w:rsidP="00AE2604">
      <w:pPr>
        <w:autoSpaceDE/>
        <w:autoSpaceDN/>
        <w:adjustRightInd/>
        <w:ind w:left="720"/>
        <w:jc w:val="both"/>
        <w:rPr>
          <w:bCs/>
        </w:rPr>
      </w:pPr>
      <w:r>
        <w:t>The Company exchanged 1,000 shares of common stock for all outstanding shares of BWTC and WS</w:t>
      </w:r>
      <w:proofErr w:type="gramStart"/>
      <w:r>
        <w:t xml:space="preserve">.  </w:t>
      </w:r>
      <w:proofErr w:type="gramEnd"/>
      <w:r w:rsidR="00736865" w:rsidRPr="00AF3A4A">
        <w:t>These companies are leading providers of broadband and communications services to an approximately 35 -square-mile area in northern New Hampshire, including the Omni Mount Washington Hotel and Resort, The Mount Washington Cog Railway and the summit of Mount Washington, New Hampshire’s highest mountain top</w:t>
      </w:r>
      <w:proofErr w:type="gramStart"/>
      <w:r w:rsidR="00736865" w:rsidRPr="00AF3A4A">
        <w:t xml:space="preserve">.  </w:t>
      </w:r>
      <w:proofErr w:type="gramEnd"/>
      <w:r w:rsidR="00495609">
        <w:t xml:space="preserve">In addition, </w:t>
      </w:r>
      <w:r w:rsidR="00206116" w:rsidRPr="00A94914">
        <w:rPr>
          <w:bCs/>
        </w:rPr>
        <w:t xml:space="preserve">CIBL </w:t>
      </w:r>
      <w:r w:rsidR="00A94914" w:rsidRPr="00A94914">
        <w:rPr>
          <w:bCs/>
        </w:rPr>
        <w:t xml:space="preserve">continues to </w:t>
      </w:r>
      <w:r w:rsidR="00206116" w:rsidRPr="00A94914">
        <w:rPr>
          <w:bCs/>
        </w:rPr>
        <w:t>hold</w:t>
      </w:r>
      <w:r w:rsidR="00A94914">
        <w:rPr>
          <w:bCs/>
        </w:rPr>
        <w:t xml:space="preserve"> </w:t>
      </w:r>
      <w:r w:rsidR="001F09E3" w:rsidRPr="00A94914">
        <w:rPr>
          <w:bCs/>
        </w:rPr>
        <w:t xml:space="preserve">a merger/arbitrage </w:t>
      </w:r>
      <w:r w:rsidR="001C4DCB" w:rsidRPr="00A94914">
        <w:rPr>
          <w:bCs/>
        </w:rPr>
        <w:t>limited partnership</w:t>
      </w:r>
      <w:r w:rsidR="001F09E3" w:rsidRPr="00A94914">
        <w:rPr>
          <w:bCs/>
        </w:rPr>
        <w:t xml:space="preserve"> described below</w:t>
      </w:r>
      <w:r w:rsidR="00206116" w:rsidRPr="00A94914">
        <w:rPr>
          <w:bCs/>
        </w:rPr>
        <w:t>.</w:t>
      </w:r>
    </w:p>
    <w:p w14:paraId="740835FC" w14:textId="4672F8C0" w:rsidR="00206116" w:rsidRDefault="00206116" w:rsidP="00206116">
      <w:pPr>
        <w:autoSpaceDE/>
        <w:autoSpaceDN/>
        <w:adjustRightInd/>
        <w:ind w:left="720"/>
        <w:jc w:val="both"/>
        <w:rPr>
          <w:bCs/>
        </w:rPr>
      </w:pPr>
    </w:p>
    <w:p w14:paraId="7A0BF9E2" w14:textId="77777777" w:rsidR="00206116" w:rsidRPr="00FF2EC9" w:rsidRDefault="00206116" w:rsidP="00206116">
      <w:pPr>
        <w:keepNext/>
        <w:autoSpaceDE/>
        <w:autoSpaceDN/>
        <w:adjustRightInd/>
        <w:ind w:left="360"/>
        <w:jc w:val="both"/>
        <w:outlineLvl w:val="1"/>
        <w:rPr>
          <w:bCs/>
        </w:rPr>
      </w:pPr>
      <w:r w:rsidRPr="00FF2EC9">
        <w:rPr>
          <w:b/>
        </w:rPr>
        <w:t>2.</w:t>
      </w:r>
      <w:r w:rsidRPr="00FF2EC9">
        <w:rPr>
          <w:b/>
        </w:rPr>
        <w:tab/>
        <w:t>Summary of Significant Accounting Policies</w:t>
      </w:r>
    </w:p>
    <w:p w14:paraId="387E3E53" w14:textId="77777777" w:rsidR="00206116" w:rsidRPr="00FF2EC9" w:rsidRDefault="00206116" w:rsidP="00206116">
      <w:pPr>
        <w:autoSpaceDE/>
        <w:autoSpaceDN/>
        <w:adjustRightInd/>
        <w:ind w:left="720"/>
        <w:jc w:val="both"/>
        <w:rPr>
          <w:b/>
          <w:bCs/>
          <w:i/>
        </w:rPr>
      </w:pPr>
    </w:p>
    <w:p w14:paraId="5E29CD4B" w14:textId="77777777" w:rsidR="00206116" w:rsidRPr="00FF2EC9" w:rsidRDefault="00206116" w:rsidP="00206116">
      <w:pPr>
        <w:autoSpaceDE/>
        <w:autoSpaceDN/>
        <w:adjustRightInd/>
        <w:ind w:left="720"/>
        <w:jc w:val="both"/>
        <w:rPr>
          <w:b/>
          <w:bCs/>
          <w:i/>
          <w:iCs/>
        </w:rPr>
      </w:pPr>
      <w:r w:rsidRPr="00FF2EC9">
        <w:rPr>
          <w:b/>
          <w:bCs/>
          <w:i/>
          <w:iCs/>
        </w:rPr>
        <w:t>Principles of Consolidation</w:t>
      </w:r>
    </w:p>
    <w:p w14:paraId="04B5999B" w14:textId="77777777" w:rsidR="00206116" w:rsidRPr="00FF2EC9" w:rsidRDefault="00206116" w:rsidP="00206116">
      <w:pPr>
        <w:keepNext/>
        <w:autoSpaceDE/>
        <w:autoSpaceDN/>
        <w:adjustRightInd/>
        <w:spacing w:line="180" w:lineRule="auto"/>
        <w:ind w:left="720"/>
        <w:jc w:val="both"/>
        <w:outlineLvl w:val="1"/>
      </w:pPr>
    </w:p>
    <w:p w14:paraId="6D789796" w14:textId="6FE942A2" w:rsidR="00577142" w:rsidRDefault="00206116" w:rsidP="00206116">
      <w:pPr>
        <w:autoSpaceDE/>
        <w:autoSpaceDN/>
        <w:adjustRightInd/>
        <w:ind w:left="720"/>
        <w:jc w:val="both"/>
      </w:pPr>
      <w:r w:rsidRPr="00FF2EC9">
        <w:t>The accompanying financial statements include</w:t>
      </w:r>
      <w:r w:rsidR="00F613E5">
        <w:t>d</w:t>
      </w:r>
      <w:r w:rsidRPr="00FF2EC9">
        <w:t xml:space="preserve"> the operations of the Company and its majority owned or controlled subsidiaries, including </w:t>
      </w:r>
      <w:r w:rsidR="00577142">
        <w:t xml:space="preserve">New Hampshire </w:t>
      </w:r>
      <w:r w:rsidR="006E5713">
        <w:t xml:space="preserve">Granite </w:t>
      </w:r>
      <w:r w:rsidR="00577142">
        <w:t>(“NH”).</w:t>
      </w:r>
      <w:r w:rsidRPr="00FF2EC9">
        <w:t xml:space="preserve"> </w:t>
      </w:r>
    </w:p>
    <w:p w14:paraId="00C38224" w14:textId="27B48F94" w:rsidR="00577142" w:rsidRPr="00FF2EC9" w:rsidRDefault="00206116" w:rsidP="00206116">
      <w:pPr>
        <w:tabs>
          <w:tab w:val="left" w:pos="720"/>
        </w:tabs>
        <w:autoSpaceDE/>
        <w:autoSpaceDN/>
        <w:adjustRightInd/>
        <w:ind w:left="720" w:right="20"/>
        <w:jc w:val="both"/>
        <w:rPr>
          <w:b/>
          <w:bCs/>
          <w:i/>
        </w:rPr>
      </w:pPr>
      <w:r w:rsidRPr="00FF2EC9">
        <w:t>All inter-company transactions and balances have been eliminated in consolidation</w:t>
      </w:r>
      <w:proofErr w:type="gramStart"/>
      <w:r w:rsidRPr="00FF2EC9">
        <w:t xml:space="preserve">.  </w:t>
      </w:r>
      <w:proofErr w:type="gramEnd"/>
    </w:p>
    <w:p w14:paraId="5BDB073E" w14:textId="77777777" w:rsidR="00577142" w:rsidRDefault="00577142" w:rsidP="00206116">
      <w:pPr>
        <w:tabs>
          <w:tab w:val="left" w:pos="720"/>
        </w:tabs>
        <w:autoSpaceDE/>
        <w:autoSpaceDN/>
        <w:adjustRightInd/>
        <w:ind w:left="720" w:right="20"/>
        <w:jc w:val="both"/>
        <w:rPr>
          <w:b/>
          <w:bCs/>
          <w:i/>
        </w:rPr>
      </w:pPr>
    </w:p>
    <w:p w14:paraId="7EF1B27C" w14:textId="465C3E9E" w:rsidR="00206116" w:rsidRPr="00FF2EC9" w:rsidRDefault="00206116" w:rsidP="00206116">
      <w:pPr>
        <w:tabs>
          <w:tab w:val="left" w:pos="720"/>
        </w:tabs>
        <w:autoSpaceDE/>
        <w:autoSpaceDN/>
        <w:adjustRightInd/>
        <w:ind w:left="720" w:right="20"/>
        <w:jc w:val="both"/>
        <w:rPr>
          <w:b/>
          <w:bCs/>
          <w:i/>
        </w:rPr>
      </w:pPr>
      <w:r w:rsidRPr="00FF2EC9">
        <w:rPr>
          <w:b/>
          <w:bCs/>
          <w:i/>
        </w:rPr>
        <w:t>Regulatory Accounting</w:t>
      </w:r>
    </w:p>
    <w:p w14:paraId="19594E16" w14:textId="77777777" w:rsidR="00206116" w:rsidRPr="00FF2EC9" w:rsidRDefault="00206116" w:rsidP="00206116">
      <w:pPr>
        <w:tabs>
          <w:tab w:val="left" w:pos="720"/>
        </w:tabs>
        <w:autoSpaceDE/>
        <w:autoSpaceDN/>
        <w:adjustRightInd/>
        <w:ind w:left="720" w:right="20"/>
        <w:jc w:val="both"/>
        <w:rPr>
          <w:bCs/>
        </w:rPr>
      </w:pPr>
    </w:p>
    <w:p w14:paraId="2071B752" w14:textId="41A1B32A" w:rsidR="00CB00C2" w:rsidRPr="00734DF3" w:rsidRDefault="00CB00C2" w:rsidP="00CB00C2">
      <w:pPr>
        <w:keepNext/>
        <w:autoSpaceDE/>
        <w:autoSpaceDN/>
        <w:adjustRightInd/>
        <w:ind w:left="720"/>
        <w:jc w:val="both"/>
        <w:outlineLvl w:val="1"/>
        <w:rPr>
          <w:bCs/>
        </w:rPr>
      </w:pPr>
      <w:r w:rsidRPr="00734DF3">
        <w:t xml:space="preserve">The activities of BWTC, </w:t>
      </w:r>
      <w:r w:rsidR="00EA1BAE">
        <w:t xml:space="preserve">a </w:t>
      </w:r>
      <w:r w:rsidR="009158F1" w:rsidRPr="00734DF3">
        <w:t>wholly owned</w:t>
      </w:r>
      <w:r w:rsidRPr="00734DF3">
        <w:t xml:space="preserve"> subsidiary of NH, are regulated for the interstate jurisdiction by the Federal Communications Commission (“FCC”) and the </w:t>
      </w:r>
      <w:r w:rsidRPr="00F6498F">
        <w:rPr>
          <w:shd w:val="clear" w:color="auto" w:fill="FFFFFF"/>
        </w:rPr>
        <w:t>New Hampshire Public Utilities Commission for the intrastate jurisdiction</w:t>
      </w:r>
      <w:r w:rsidRPr="00734DF3">
        <w:t>.</w:t>
      </w:r>
      <w:r w:rsidRPr="00EE12E6">
        <w:t xml:space="preserve"> </w:t>
      </w:r>
      <w:r w:rsidRPr="00734DF3">
        <w:t>BWTC complies with the FCC Uniform System of Accounts, Part 32 of the FCC Rules and Regulations.</w:t>
      </w:r>
    </w:p>
    <w:p w14:paraId="45929701" w14:textId="77777777" w:rsidR="00CB00C2" w:rsidRPr="00FF2EC9" w:rsidRDefault="00CB00C2" w:rsidP="00CB00C2">
      <w:pPr>
        <w:tabs>
          <w:tab w:val="left" w:pos="720"/>
        </w:tabs>
        <w:autoSpaceDE/>
        <w:autoSpaceDN/>
        <w:adjustRightInd/>
        <w:ind w:left="720" w:right="20"/>
        <w:jc w:val="both"/>
        <w:rPr>
          <w:bCs/>
        </w:rPr>
      </w:pPr>
    </w:p>
    <w:p w14:paraId="23B7DD4D" w14:textId="3DED54C6" w:rsidR="00CB00C2" w:rsidRDefault="00CB00C2" w:rsidP="00CB00C2">
      <w:pPr>
        <w:tabs>
          <w:tab w:val="left" w:pos="720"/>
        </w:tabs>
        <w:autoSpaceDE/>
        <w:autoSpaceDN/>
        <w:adjustRightInd/>
        <w:ind w:left="720" w:right="14"/>
        <w:jc w:val="both"/>
        <w:rPr>
          <w:bCs/>
        </w:rPr>
      </w:pPr>
      <w:r w:rsidRPr="00FF2EC9">
        <w:rPr>
          <w:bCs/>
        </w:rPr>
        <w:t>Where applicable, this regulated accounting recognizes the economic effects of rate regulation by recording costs and a return on investment; as such, amounts are recovered through rates authorized by regulatory authorities</w:t>
      </w:r>
      <w:r w:rsidR="009158F1" w:rsidRPr="00FF2EC9">
        <w:rPr>
          <w:bCs/>
        </w:rPr>
        <w:t xml:space="preserve">. </w:t>
      </w:r>
      <w:r w:rsidRPr="00FF2EC9">
        <w:rPr>
          <w:bCs/>
        </w:rPr>
        <w:t xml:space="preserve">Developments that could give rise to substantial modifications of regulatory accounting practices include (1) increasing competition restricting </w:t>
      </w:r>
      <w:r w:rsidRPr="009B52E2">
        <w:t>BWTC</w:t>
      </w:r>
      <w:r>
        <w:t>’s</w:t>
      </w:r>
      <w:r w:rsidRPr="009B52E2">
        <w:t xml:space="preserve"> </w:t>
      </w:r>
      <w:r w:rsidRPr="009B52E2">
        <w:rPr>
          <w:bCs/>
        </w:rPr>
        <w:t xml:space="preserve">wireline business’ ability to establish prices to recover specific costs, </w:t>
      </w:r>
      <w:r>
        <w:rPr>
          <w:bCs/>
        </w:rPr>
        <w:t>or</w:t>
      </w:r>
      <w:r w:rsidRPr="009B52E2">
        <w:rPr>
          <w:bCs/>
        </w:rPr>
        <w:t xml:space="preserve"> (2) significant changes in the </w:t>
      </w:r>
      <w:proofErr w:type="gramStart"/>
      <w:r w:rsidRPr="009B52E2">
        <w:rPr>
          <w:bCs/>
        </w:rPr>
        <w:t>manner in which</w:t>
      </w:r>
      <w:proofErr w:type="gramEnd"/>
      <w:r w:rsidRPr="009B52E2">
        <w:rPr>
          <w:bCs/>
        </w:rPr>
        <w:t xml:space="preserve"> rates are set by regulators from</w:t>
      </w:r>
      <w:r w:rsidRPr="00FF2EC9">
        <w:rPr>
          <w:bCs/>
        </w:rPr>
        <w:t xml:space="preserve"> cost-based regulation to another form of regulation.  The Company periodically reviews the applicability of regulatory accounting guidelines based on the developments in its current regulatory and competitive environments.</w:t>
      </w:r>
    </w:p>
    <w:p w14:paraId="5FB1A7F1" w14:textId="77777777" w:rsidR="00CB00C2" w:rsidRDefault="00CB00C2" w:rsidP="00CB00C2">
      <w:pPr>
        <w:tabs>
          <w:tab w:val="left" w:pos="720"/>
        </w:tabs>
        <w:autoSpaceDE/>
        <w:autoSpaceDN/>
        <w:adjustRightInd/>
        <w:ind w:left="720" w:right="14"/>
        <w:jc w:val="both"/>
        <w:rPr>
          <w:bCs/>
        </w:rPr>
      </w:pPr>
    </w:p>
    <w:p w14:paraId="3D84A1A4" w14:textId="4DC7EFF3" w:rsidR="00CB00C2" w:rsidRPr="002F2CA6" w:rsidRDefault="00CB00C2" w:rsidP="00CB00C2">
      <w:pPr>
        <w:autoSpaceDE/>
        <w:adjustRightInd/>
        <w:ind w:left="720"/>
        <w:jc w:val="both"/>
        <w:rPr>
          <w:bCs/>
        </w:rPr>
      </w:pPr>
      <w:bookmarkStart w:id="42" w:name="_Hlk88140654"/>
      <w:r w:rsidRPr="0028340A">
        <w:rPr>
          <w:bCs/>
        </w:rPr>
        <w:t>In 2019, BWTC adopted the FCC’s voluntary USF Alternative Connect America Cost Model (“A-CAM”) II effective January 1, 2019</w:t>
      </w:r>
      <w:r w:rsidR="009158F1" w:rsidRPr="0028340A">
        <w:rPr>
          <w:bCs/>
        </w:rPr>
        <w:t xml:space="preserve">. </w:t>
      </w:r>
      <w:r w:rsidRPr="0028340A">
        <w:rPr>
          <w:bCs/>
        </w:rPr>
        <w:t xml:space="preserve">BWTC’s A-CAM II revenues for </w:t>
      </w:r>
      <w:r w:rsidR="00AE2604" w:rsidRPr="0028340A">
        <w:rPr>
          <w:bCs/>
        </w:rPr>
        <w:t xml:space="preserve">the </w:t>
      </w:r>
      <w:r w:rsidR="00E831D2" w:rsidRPr="0028340A">
        <w:rPr>
          <w:bCs/>
        </w:rPr>
        <w:t>third</w:t>
      </w:r>
      <w:r w:rsidR="00AE2604" w:rsidRPr="0028340A">
        <w:rPr>
          <w:bCs/>
        </w:rPr>
        <w:t xml:space="preserve"> </w:t>
      </w:r>
      <w:r w:rsidR="00AE2604" w:rsidRPr="0028340A">
        <w:rPr>
          <w:bCs/>
        </w:rPr>
        <w:lastRenderedPageBreak/>
        <w:t xml:space="preserve">quarter of </w:t>
      </w:r>
      <w:r w:rsidRPr="0028340A">
        <w:rPr>
          <w:bCs/>
        </w:rPr>
        <w:t>202</w:t>
      </w:r>
      <w:r w:rsidR="00AE2604" w:rsidRPr="0028340A">
        <w:rPr>
          <w:bCs/>
        </w:rPr>
        <w:t>1 and 2020 were $4</w:t>
      </w:r>
      <w:r w:rsidR="00D754F3" w:rsidRPr="0028340A">
        <w:rPr>
          <w:bCs/>
        </w:rPr>
        <w:t>4</w:t>
      </w:r>
      <w:r w:rsidR="00AE2604" w:rsidRPr="0028340A">
        <w:rPr>
          <w:bCs/>
        </w:rPr>
        <w:t>,000 and $4</w:t>
      </w:r>
      <w:r w:rsidR="00D754F3" w:rsidRPr="0028340A">
        <w:rPr>
          <w:bCs/>
        </w:rPr>
        <w:t>9</w:t>
      </w:r>
      <w:r w:rsidR="00AE2604" w:rsidRPr="0028340A">
        <w:rPr>
          <w:bCs/>
        </w:rPr>
        <w:t>,000 respectively.</w:t>
      </w:r>
      <w:r w:rsidRPr="0028340A">
        <w:rPr>
          <w:bCs/>
        </w:rPr>
        <w:t xml:space="preserve"> A-CAM II revenues for BWTC</w:t>
      </w:r>
      <w:r w:rsidR="00EA1BAE" w:rsidRPr="0028340A">
        <w:rPr>
          <w:bCs/>
        </w:rPr>
        <w:t>,</w:t>
      </w:r>
      <w:r w:rsidRPr="0028340A">
        <w:rPr>
          <w:bCs/>
        </w:rPr>
        <w:t xml:space="preserve"> transition down $20</w:t>
      </w:r>
      <w:r w:rsidR="00C06A9B" w:rsidRPr="0028340A">
        <w:rPr>
          <w:bCs/>
        </w:rPr>
        <w:t>,000</w:t>
      </w:r>
      <w:r w:rsidRPr="0028340A">
        <w:rPr>
          <w:bCs/>
        </w:rPr>
        <w:t xml:space="preserve"> per year through 2028.</w:t>
      </w:r>
    </w:p>
    <w:bookmarkEnd w:id="42"/>
    <w:p w14:paraId="66569536" w14:textId="77777777" w:rsidR="00206116" w:rsidRPr="00FF2EC9" w:rsidRDefault="00206116" w:rsidP="00206116">
      <w:pPr>
        <w:tabs>
          <w:tab w:val="left" w:pos="720"/>
        </w:tabs>
        <w:autoSpaceDE/>
        <w:autoSpaceDN/>
        <w:adjustRightInd/>
        <w:ind w:left="720" w:right="20"/>
        <w:jc w:val="both"/>
        <w:rPr>
          <w:bCs/>
        </w:rPr>
      </w:pPr>
    </w:p>
    <w:p w14:paraId="22A71A1A" w14:textId="77777777" w:rsidR="00206116" w:rsidRPr="00FF2EC9" w:rsidRDefault="00206116" w:rsidP="00206116">
      <w:pPr>
        <w:tabs>
          <w:tab w:val="left" w:pos="720"/>
        </w:tabs>
        <w:autoSpaceDE/>
        <w:autoSpaceDN/>
        <w:adjustRightInd/>
        <w:ind w:left="720" w:right="20"/>
        <w:jc w:val="both"/>
        <w:rPr>
          <w:b/>
          <w:bCs/>
          <w:i/>
        </w:rPr>
      </w:pPr>
      <w:r w:rsidRPr="00FF2EC9">
        <w:rPr>
          <w:b/>
          <w:bCs/>
          <w:i/>
        </w:rPr>
        <w:t>Use of Estimates</w:t>
      </w:r>
    </w:p>
    <w:p w14:paraId="7FA116FB" w14:textId="77777777" w:rsidR="00206116" w:rsidRPr="00FF2EC9" w:rsidRDefault="00206116" w:rsidP="00206116">
      <w:pPr>
        <w:keepNext/>
        <w:tabs>
          <w:tab w:val="left" w:pos="720"/>
        </w:tabs>
        <w:autoSpaceDE/>
        <w:autoSpaceDN/>
        <w:adjustRightInd/>
        <w:spacing w:line="180" w:lineRule="auto"/>
        <w:ind w:left="720"/>
        <w:jc w:val="both"/>
        <w:outlineLvl w:val="1"/>
        <w:rPr>
          <w:b/>
          <w:bCs/>
        </w:rPr>
      </w:pPr>
    </w:p>
    <w:p w14:paraId="61FB9C95" w14:textId="77777777" w:rsidR="00206116" w:rsidRPr="00FF2EC9" w:rsidRDefault="00206116" w:rsidP="00206116">
      <w:pPr>
        <w:tabs>
          <w:tab w:val="left" w:pos="720"/>
        </w:tabs>
        <w:autoSpaceDE/>
        <w:autoSpaceDN/>
        <w:adjustRightInd/>
        <w:ind w:left="720"/>
        <w:jc w:val="both"/>
        <w:rPr>
          <w:bCs/>
        </w:rPr>
      </w:pPr>
      <w:r w:rsidRPr="00FF2EC9">
        <w:t xml:space="preserve">The financial statements have been prepared in conformity with accounting principles generally accepted in the United States of America (“U.S. GAAP”), which require management to make estimates and assumptions that affect the reported amounts of assets and liabilities and the disclosure of contingent assets and liabilities at the financial statement date, and the reported amounts </w:t>
      </w:r>
      <w:r w:rsidRPr="00FF2EC9">
        <w:rPr>
          <w:bCs/>
        </w:rPr>
        <w:t>of revenue and expenses during the reporting period</w:t>
      </w:r>
      <w:proofErr w:type="gramStart"/>
      <w:r w:rsidRPr="00FF2EC9">
        <w:rPr>
          <w:bCs/>
        </w:rPr>
        <w:t xml:space="preserve">.  </w:t>
      </w:r>
      <w:proofErr w:type="gramEnd"/>
      <w:r w:rsidRPr="00FF2EC9">
        <w:rPr>
          <w:bCs/>
        </w:rPr>
        <w:t>Actual results could differ from those estimates.</w:t>
      </w:r>
    </w:p>
    <w:p w14:paraId="0CB2F4A5" w14:textId="77777777" w:rsidR="00206116" w:rsidRPr="00FF2EC9" w:rsidRDefault="00206116" w:rsidP="00206116">
      <w:pPr>
        <w:tabs>
          <w:tab w:val="left" w:pos="720"/>
        </w:tabs>
        <w:autoSpaceDE/>
        <w:autoSpaceDN/>
        <w:adjustRightInd/>
        <w:ind w:left="720"/>
        <w:jc w:val="both"/>
        <w:rPr>
          <w:bCs/>
        </w:rPr>
      </w:pPr>
    </w:p>
    <w:p w14:paraId="486022BA" w14:textId="7F41C579" w:rsidR="00206116" w:rsidRPr="00FF2EC9" w:rsidRDefault="00206116" w:rsidP="00206116">
      <w:pPr>
        <w:tabs>
          <w:tab w:val="left" w:pos="720"/>
        </w:tabs>
        <w:autoSpaceDE/>
        <w:autoSpaceDN/>
        <w:adjustRightInd/>
        <w:ind w:left="720" w:right="14"/>
        <w:jc w:val="both"/>
        <w:rPr>
          <w:b/>
          <w:bCs/>
          <w:i/>
        </w:rPr>
      </w:pPr>
      <w:r w:rsidRPr="00FF2EC9">
        <w:rPr>
          <w:b/>
          <w:bCs/>
          <w:i/>
        </w:rPr>
        <w:t>Cash and Cash Equivalents</w:t>
      </w:r>
    </w:p>
    <w:p w14:paraId="2B2109AC" w14:textId="77777777" w:rsidR="00206116" w:rsidRPr="00FF2EC9" w:rsidRDefault="00206116" w:rsidP="00206116">
      <w:pPr>
        <w:autoSpaceDE/>
        <w:autoSpaceDN/>
        <w:adjustRightInd/>
        <w:spacing w:line="204" w:lineRule="auto"/>
        <w:ind w:left="720"/>
        <w:jc w:val="both"/>
      </w:pPr>
    </w:p>
    <w:p w14:paraId="2D7CC5A1" w14:textId="77777777" w:rsidR="00206116" w:rsidRPr="00FF2EC9" w:rsidRDefault="00206116" w:rsidP="00206116">
      <w:pPr>
        <w:tabs>
          <w:tab w:val="left" w:pos="720"/>
        </w:tabs>
        <w:autoSpaceDE/>
        <w:autoSpaceDN/>
        <w:adjustRightInd/>
        <w:ind w:left="720"/>
        <w:jc w:val="both"/>
      </w:pPr>
      <w:r w:rsidRPr="00FF2EC9">
        <w:t>The Company considers all highly liquid investments with maturities of three months or less at the date of purchase to be cash equivalents.</w:t>
      </w:r>
    </w:p>
    <w:p w14:paraId="26B68988" w14:textId="77777777" w:rsidR="00206116" w:rsidRPr="00FF2EC9" w:rsidRDefault="00206116" w:rsidP="00206116">
      <w:pPr>
        <w:tabs>
          <w:tab w:val="left" w:pos="720"/>
        </w:tabs>
        <w:autoSpaceDE/>
        <w:autoSpaceDN/>
        <w:adjustRightInd/>
        <w:ind w:left="720"/>
        <w:jc w:val="both"/>
      </w:pPr>
    </w:p>
    <w:p w14:paraId="43C6EA4B" w14:textId="77777777" w:rsidR="00206116" w:rsidRPr="00FF2EC9" w:rsidRDefault="003916EA" w:rsidP="00206116">
      <w:pPr>
        <w:tabs>
          <w:tab w:val="left" w:pos="720"/>
        </w:tabs>
        <w:autoSpaceDE/>
        <w:autoSpaceDN/>
        <w:adjustRightInd/>
        <w:ind w:left="720"/>
        <w:jc w:val="both"/>
        <w:rPr>
          <w:b/>
          <w:i/>
        </w:rPr>
      </w:pPr>
      <w:r w:rsidRPr="00FF2EC9">
        <w:rPr>
          <w:b/>
          <w:i/>
        </w:rPr>
        <w:t>United States Treasury Bills</w:t>
      </w:r>
    </w:p>
    <w:p w14:paraId="41170874" w14:textId="77777777" w:rsidR="00206116" w:rsidRPr="00FF2EC9" w:rsidRDefault="00206116" w:rsidP="00206116">
      <w:pPr>
        <w:autoSpaceDE/>
        <w:autoSpaceDN/>
        <w:adjustRightInd/>
        <w:spacing w:line="204" w:lineRule="auto"/>
        <w:ind w:left="720"/>
        <w:jc w:val="both"/>
      </w:pPr>
    </w:p>
    <w:p w14:paraId="2BAC0F60" w14:textId="0890751A" w:rsidR="00206116" w:rsidRDefault="00206116" w:rsidP="00206116">
      <w:pPr>
        <w:tabs>
          <w:tab w:val="left" w:pos="720"/>
        </w:tabs>
        <w:autoSpaceDE/>
        <w:autoSpaceDN/>
        <w:adjustRightInd/>
        <w:ind w:left="720"/>
        <w:jc w:val="both"/>
      </w:pPr>
      <w:r w:rsidRPr="00FF2EC9">
        <w:t xml:space="preserve">The Company considers all highly liquid investments with maturities </w:t>
      </w:r>
      <w:proofErr w:type="gramStart"/>
      <w:r w:rsidRPr="00FF2EC9">
        <w:t>in excess of</w:t>
      </w:r>
      <w:proofErr w:type="gramEnd"/>
      <w:r w:rsidRPr="00FF2EC9">
        <w:t xml:space="preserve"> three months, and no greater than </w:t>
      </w:r>
      <w:r w:rsidR="00E831D2">
        <w:t>nine</w:t>
      </w:r>
      <w:r w:rsidRPr="00FF2EC9">
        <w:t xml:space="preserve"> months at the date of purchase, to be short-term investments.  </w:t>
      </w:r>
    </w:p>
    <w:p w14:paraId="4F7D817E" w14:textId="1CDDA427" w:rsidR="00E0442E" w:rsidRDefault="00E0442E" w:rsidP="00206116">
      <w:pPr>
        <w:tabs>
          <w:tab w:val="left" w:pos="720"/>
        </w:tabs>
        <w:autoSpaceDE/>
        <w:autoSpaceDN/>
        <w:adjustRightInd/>
        <w:ind w:left="720"/>
        <w:jc w:val="both"/>
      </w:pPr>
    </w:p>
    <w:p w14:paraId="002E5C05" w14:textId="77777777" w:rsidR="00206116" w:rsidRPr="00FF2EC9" w:rsidRDefault="00206116" w:rsidP="00206116">
      <w:pPr>
        <w:tabs>
          <w:tab w:val="left" w:pos="720"/>
        </w:tabs>
        <w:autoSpaceDE/>
        <w:autoSpaceDN/>
        <w:adjustRightInd/>
        <w:ind w:left="720"/>
        <w:jc w:val="both"/>
        <w:rPr>
          <w:b/>
          <w:i/>
        </w:rPr>
      </w:pPr>
      <w:r w:rsidRPr="00FF2EC9">
        <w:rPr>
          <w:b/>
          <w:i/>
        </w:rPr>
        <w:t>Accounts Receivable</w:t>
      </w:r>
    </w:p>
    <w:p w14:paraId="0D8CDFBF" w14:textId="77777777" w:rsidR="00206116" w:rsidRPr="00FF2EC9" w:rsidRDefault="00206116" w:rsidP="00206116">
      <w:pPr>
        <w:tabs>
          <w:tab w:val="left" w:pos="720"/>
        </w:tabs>
        <w:autoSpaceDE/>
        <w:autoSpaceDN/>
        <w:adjustRightInd/>
        <w:ind w:left="720"/>
        <w:jc w:val="both"/>
        <w:rPr>
          <w:highlight w:val="yellow"/>
        </w:rPr>
      </w:pPr>
    </w:p>
    <w:p w14:paraId="70706823" w14:textId="54A964B4" w:rsidR="00206116" w:rsidRPr="00FF2EC9" w:rsidRDefault="00206116" w:rsidP="00206116">
      <w:pPr>
        <w:tabs>
          <w:tab w:val="left" w:pos="720"/>
        </w:tabs>
        <w:autoSpaceDE/>
        <w:autoSpaceDN/>
        <w:adjustRightInd/>
        <w:ind w:left="720"/>
        <w:jc w:val="both"/>
        <w:rPr>
          <w:highlight w:val="yellow"/>
        </w:rPr>
      </w:pPr>
      <w:r w:rsidRPr="00FF2EC9">
        <w:t xml:space="preserve">Trade receivables </w:t>
      </w:r>
      <w:r w:rsidR="00F613E5">
        <w:t xml:space="preserve">of </w:t>
      </w:r>
      <w:r w:rsidR="00A1641C">
        <w:t xml:space="preserve">New Hampshire (“NH”) </w:t>
      </w:r>
      <w:r w:rsidR="00F613E5">
        <w:t xml:space="preserve">were </w:t>
      </w:r>
      <w:r w:rsidRPr="00FF2EC9">
        <w:t>uncollateralized customer obligations due under normal trade terms requiring payment within 30 days from the invoice date</w:t>
      </w:r>
      <w:proofErr w:type="gramStart"/>
      <w:r w:rsidRPr="00FF2EC9">
        <w:t xml:space="preserve">.  </w:t>
      </w:r>
      <w:proofErr w:type="gramEnd"/>
      <w:r w:rsidRPr="00FF2EC9">
        <w:t>The receivables are non-interest bearing</w:t>
      </w:r>
      <w:proofErr w:type="gramStart"/>
      <w:r w:rsidRPr="00FF2EC9">
        <w:t xml:space="preserve">.  </w:t>
      </w:r>
      <w:proofErr w:type="gramEnd"/>
      <w:r w:rsidRPr="00FF2EC9">
        <w:t>Payments on trade receivables are applied to the applicable unpaid invoices</w:t>
      </w:r>
      <w:proofErr w:type="gramStart"/>
      <w:r w:rsidRPr="00FF2EC9">
        <w:t xml:space="preserve">.  </w:t>
      </w:r>
      <w:proofErr w:type="gramEnd"/>
      <w:r w:rsidRPr="00FF2EC9">
        <w:t>The carrying amount of the trade receivables is reduced by an amount that reflects management’s best estimate of the amounts that will not be collected.</w:t>
      </w:r>
    </w:p>
    <w:p w14:paraId="7F9CFB7F" w14:textId="77777777" w:rsidR="00F47AFF" w:rsidRDefault="00F47AFF" w:rsidP="00206116">
      <w:pPr>
        <w:tabs>
          <w:tab w:val="left" w:pos="720"/>
        </w:tabs>
        <w:autoSpaceDE/>
        <w:autoSpaceDN/>
        <w:adjustRightInd/>
        <w:ind w:left="720"/>
        <w:jc w:val="both"/>
        <w:rPr>
          <w:b/>
          <w:i/>
        </w:rPr>
      </w:pPr>
    </w:p>
    <w:p w14:paraId="514CAD33" w14:textId="7A5A91EC" w:rsidR="00206116" w:rsidRPr="00FF2EC9" w:rsidRDefault="00206116" w:rsidP="00206116">
      <w:pPr>
        <w:tabs>
          <w:tab w:val="left" w:pos="720"/>
        </w:tabs>
        <w:autoSpaceDE/>
        <w:autoSpaceDN/>
        <w:adjustRightInd/>
        <w:ind w:left="720"/>
        <w:jc w:val="both"/>
        <w:rPr>
          <w:b/>
          <w:i/>
        </w:rPr>
      </w:pPr>
      <w:r w:rsidRPr="00FF2EC9">
        <w:rPr>
          <w:b/>
          <w:i/>
        </w:rPr>
        <w:t>Investments in Affiliated Entities, Equity Basis</w:t>
      </w:r>
    </w:p>
    <w:p w14:paraId="059D5D5D" w14:textId="77777777" w:rsidR="00206116" w:rsidRPr="00FF2EC9" w:rsidRDefault="00206116" w:rsidP="00206116">
      <w:pPr>
        <w:tabs>
          <w:tab w:val="left" w:pos="720"/>
        </w:tabs>
        <w:autoSpaceDE/>
        <w:autoSpaceDN/>
        <w:adjustRightInd/>
        <w:spacing w:line="204" w:lineRule="auto"/>
        <w:ind w:left="720"/>
        <w:jc w:val="both"/>
        <w:rPr>
          <w:b/>
          <w:i/>
        </w:rPr>
      </w:pPr>
    </w:p>
    <w:p w14:paraId="50D470A8" w14:textId="127264DD" w:rsidR="003322AB" w:rsidRPr="00FF2EC9" w:rsidRDefault="001D2E4F" w:rsidP="00206116">
      <w:pPr>
        <w:tabs>
          <w:tab w:val="left" w:pos="720"/>
        </w:tabs>
        <w:autoSpaceDE/>
        <w:autoSpaceDN/>
        <w:adjustRightInd/>
        <w:ind w:left="720"/>
        <w:jc w:val="both"/>
      </w:pPr>
      <w:r w:rsidRPr="00BA6214">
        <w:t>SM Merger/Arbitrage, L.P.</w:t>
      </w:r>
      <w:r>
        <w:t xml:space="preserve"> </w:t>
      </w:r>
      <w:r w:rsidR="003322AB" w:rsidRPr="00FF2EC9">
        <w:t>During 2016, the Company invested $1,</w:t>
      </w:r>
      <w:r w:rsidR="003C3B73" w:rsidRPr="00FF2EC9">
        <w:t>3</w:t>
      </w:r>
      <w:r w:rsidR="003322AB" w:rsidRPr="00FF2EC9">
        <w:t>00</w:t>
      </w:r>
      <w:r w:rsidR="00C06A9B">
        <w:t xml:space="preserve">,000 </w:t>
      </w:r>
      <w:r w:rsidR="003322AB" w:rsidRPr="00FF2EC9">
        <w:t xml:space="preserve">in a </w:t>
      </w:r>
      <w:r w:rsidR="00541D6D" w:rsidRPr="00FF2EC9">
        <w:t>merger/arbitrage limited partnership (“Partnership”) whose primary purpose is to invest in liquidations</w:t>
      </w:r>
      <w:r w:rsidR="0009229E" w:rsidRPr="00FF2EC9">
        <w:t>;</w:t>
      </w:r>
      <w:r w:rsidR="00541D6D" w:rsidRPr="00FF2EC9">
        <w:t xml:space="preserve"> stub securities resulting from corporate merger,</w:t>
      </w:r>
      <w:r w:rsidR="00BA6214">
        <w:t xml:space="preserve"> </w:t>
      </w:r>
      <w:r w:rsidR="00BA6214" w:rsidRPr="00FF2EC9">
        <w:t>acquisition,</w:t>
      </w:r>
      <w:r w:rsidR="00BA6214">
        <w:t xml:space="preserve"> </w:t>
      </w:r>
      <w:r w:rsidR="00541D6D" w:rsidRPr="00FF2EC9">
        <w:t>and recapitalization activities</w:t>
      </w:r>
      <w:r w:rsidR="0009229E" w:rsidRPr="00FF2EC9">
        <w:t>;</w:t>
      </w:r>
      <w:r w:rsidR="00541D6D" w:rsidRPr="00FF2EC9">
        <w:t xml:space="preserve"> and risk arbitrage transactions in connection with mergers, consolidations, acquisitions, transfers of assets, tender offers, exchange offers, recapitalizations or other similar transactions</w:t>
      </w:r>
      <w:proofErr w:type="gramStart"/>
      <w:r w:rsidR="0009229E" w:rsidRPr="00FF2EC9">
        <w:t xml:space="preserve">.  </w:t>
      </w:r>
      <w:proofErr w:type="gramEnd"/>
      <w:r w:rsidR="0009229E" w:rsidRPr="00FF2EC9">
        <w:t>The Partnership</w:t>
      </w:r>
      <w:r w:rsidR="00541D6D" w:rsidRPr="00FF2EC9">
        <w:t xml:space="preserve"> may engage, to a lesser extent, in other investments in securities including capital structure arbitrage, matched pair trading and related trading in options. A Director of the Company</w:t>
      </w:r>
      <w:r w:rsidR="00AE2604">
        <w:t>, Salvatore M. Muoio</w:t>
      </w:r>
      <w:r w:rsidR="00541D6D" w:rsidRPr="00FF2EC9">
        <w:t xml:space="preserve"> </w:t>
      </w:r>
      <w:r w:rsidR="0009229E" w:rsidRPr="00FF2EC9">
        <w:t xml:space="preserve">is </w:t>
      </w:r>
      <w:r w:rsidR="00541D6D" w:rsidRPr="00FF2EC9">
        <w:t>the managing member of the limited liability company wh</w:t>
      </w:r>
      <w:r w:rsidR="0009229E" w:rsidRPr="00FF2EC9">
        <w:t>ich</w:t>
      </w:r>
      <w:r w:rsidR="00541D6D" w:rsidRPr="00FF2EC9">
        <w:t xml:space="preserve"> is the General Partner of the </w:t>
      </w:r>
      <w:r w:rsidR="00541D6D" w:rsidRPr="009B3908">
        <w:t>Partnership.</w:t>
      </w:r>
      <w:r w:rsidR="001F09E3" w:rsidRPr="009B3908">
        <w:t xml:space="preserve"> A</w:t>
      </w:r>
      <w:r w:rsidRPr="009B3908">
        <w:t>s of</w:t>
      </w:r>
      <w:r w:rsidR="001F09E3" w:rsidRPr="009B3908">
        <w:t xml:space="preserve"> </w:t>
      </w:r>
      <w:r w:rsidR="00E831D2">
        <w:t>September</w:t>
      </w:r>
      <w:r w:rsidR="00427D9E" w:rsidRPr="009B3908">
        <w:t xml:space="preserve"> 3</w:t>
      </w:r>
      <w:r w:rsidR="007B34F2" w:rsidRPr="009B3908">
        <w:t>0</w:t>
      </w:r>
      <w:r w:rsidR="00427D9E" w:rsidRPr="009B3908">
        <w:t>,</w:t>
      </w:r>
      <w:r w:rsidR="001370FB" w:rsidRPr="009B3908">
        <w:t xml:space="preserve"> 20</w:t>
      </w:r>
      <w:r w:rsidR="00A64B39" w:rsidRPr="009B3908">
        <w:t>2</w:t>
      </w:r>
      <w:r w:rsidR="00427D9E" w:rsidRPr="009B3908">
        <w:t>1</w:t>
      </w:r>
      <w:r w:rsidR="001370FB" w:rsidRPr="009B3908">
        <w:t xml:space="preserve">, </w:t>
      </w:r>
      <w:r w:rsidR="001F09E3" w:rsidRPr="009B3908">
        <w:t xml:space="preserve">December 31, </w:t>
      </w:r>
      <w:r w:rsidR="000017D9" w:rsidRPr="009B3908">
        <w:t>20</w:t>
      </w:r>
      <w:r w:rsidR="00427D9E" w:rsidRPr="009B3908">
        <w:t>20</w:t>
      </w:r>
      <w:r w:rsidR="001370FB" w:rsidRPr="009B3908">
        <w:t>,</w:t>
      </w:r>
      <w:r w:rsidR="000017D9" w:rsidRPr="009B3908">
        <w:t xml:space="preserve"> and </w:t>
      </w:r>
      <w:r w:rsidR="00E831D2">
        <w:t>September</w:t>
      </w:r>
      <w:r w:rsidR="002C4DBE" w:rsidRPr="009B3908">
        <w:t xml:space="preserve"> 3</w:t>
      </w:r>
      <w:r w:rsidR="007B34F2" w:rsidRPr="009B3908">
        <w:t>0</w:t>
      </w:r>
      <w:r w:rsidR="001370FB" w:rsidRPr="009B3908">
        <w:t xml:space="preserve">, </w:t>
      </w:r>
      <w:r w:rsidR="001F09E3" w:rsidRPr="009B3908">
        <w:t>20</w:t>
      </w:r>
      <w:r w:rsidR="00427D9E" w:rsidRPr="009B3908">
        <w:t>20</w:t>
      </w:r>
      <w:r w:rsidR="001F09E3" w:rsidRPr="009B3908">
        <w:t>, the Compan</w:t>
      </w:r>
      <w:r w:rsidR="0009229E" w:rsidRPr="009B3908">
        <w:t>y’s</w:t>
      </w:r>
      <w:r w:rsidR="001F09E3" w:rsidRPr="009B3908">
        <w:t xml:space="preserve"> investment </w:t>
      </w:r>
      <w:r w:rsidR="000E730B" w:rsidRPr="009B3908">
        <w:t>was</w:t>
      </w:r>
      <w:r w:rsidR="001F09E3" w:rsidRPr="009B3908">
        <w:t xml:space="preserve"> </w:t>
      </w:r>
      <w:r w:rsidR="001F09E3" w:rsidRPr="009E43D8">
        <w:t>recorded at</w:t>
      </w:r>
      <w:r w:rsidR="000017D9" w:rsidRPr="009E43D8">
        <w:t xml:space="preserve"> </w:t>
      </w:r>
      <w:r w:rsidR="001370FB" w:rsidRPr="009E43D8">
        <w:t>$1,</w:t>
      </w:r>
      <w:r w:rsidRPr="009E43D8">
        <w:t>6</w:t>
      </w:r>
      <w:r w:rsidR="009E43D8" w:rsidRPr="009E43D8">
        <w:t>8</w:t>
      </w:r>
      <w:r w:rsidR="009B3908" w:rsidRPr="009E43D8">
        <w:t>6</w:t>
      </w:r>
      <w:r w:rsidRPr="009E43D8">
        <w:t>,</w:t>
      </w:r>
      <w:r w:rsidR="00C06A9B" w:rsidRPr="009E43D8">
        <w:t>000,</w:t>
      </w:r>
      <w:r w:rsidR="009B3908" w:rsidRPr="009E43D8">
        <w:t xml:space="preserve"> </w:t>
      </w:r>
      <w:r w:rsidR="00EA1BAE" w:rsidRPr="009E43D8">
        <w:t>$1,580,000,</w:t>
      </w:r>
      <w:r w:rsidRPr="009E43D8">
        <w:t xml:space="preserve"> </w:t>
      </w:r>
      <w:r w:rsidR="000E730B" w:rsidRPr="009E43D8">
        <w:t>and $</w:t>
      </w:r>
      <w:r w:rsidR="001F09E3" w:rsidRPr="009E43D8">
        <w:t>1,</w:t>
      </w:r>
      <w:r w:rsidRPr="009E43D8">
        <w:t>4</w:t>
      </w:r>
      <w:r w:rsidR="009B3908" w:rsidRPr="009E43D8">
        <w:t>36</w:t>
      </w:r>
      <w:r w:rsidRPr="009E43D8">
        <w:t>,</w:t>
      </w:r>
      <w:r w:rsidR="00C06A9B" w:rsidRPr="009E43D8">
        <w:t>000,</w:t>
      </w:r>
      <w:r w:rsidR="00DE0750" w:rsidRPr="009B3908">
        <w:t xml:space="preserve"> respectively</w:t>
      </w:r>
      <w:r w:rsidR="001F09E3" w:rsidRPr="001D2E4F">
        <w:t>.</w:t>
      </w:r>
    </w:p>
    <w:p w14:paraId="00F2CD6E" w14:textId="77777777" w:rsidR="003322AB" w:rsidRPr="00FF2EC9" w:rsidRDefault="003322AB" w:rsidP="00206116">
      <w:pPr>
        <w:tabs>
          <w:tab w:val="left" w:pos="720"/>
        </w:tabs>
        <w:autoSpaceDE/>
        <w:autoSpaceDN/>
        <w:adjustRightInd/>
        <w:ind w:left="720"/>
        <w:jc w:val="both"/>
      </w:pPr>
    </w:p>
    <w:p w14:paraId="3B581A38" w14:textId="77777777" w:rsidR="00086EE2" w:rsidRDefault="00086EE2" w:rsidP="00206116">
      <w:pPr>
        <w:autoSpaceDE/>
        <w:autoSpaceDN/>
        <w:adjustRightInd/>
        <w:ind w:left="720"/>
        <w:jc w:val="both"/>
        <w:rPr>
          <w:b/>
          <w:i/>
        </w:rPr>
      </w:pPr>
    </w:p>
    <w:p w14:paraId="21891651" w14:textId="77777777" w:rsidR="00086EE2" w:rsidRDefault="00086EE2" w:rsidP="00206116">
      <w:pPr>
        <w:autoSpaceDE/>
        <w:autoSpaceDN/>
        <w:adjustRightInd/>
        <w:ind w:left="720"/>
        <w:jc w:val="both"/>
        <w:rPr>
          <w:b/>
          <w:i/>
        </w:rPr>
      </w:pPr>
    </w:p>
    <w:p w14:paraId="7DBF93C1" w14:textId="3DF2AAA3" w:rsidR="00206116" w:rsidRPr="00FF2EC9" w:rsidRDefault="00206116" w:rsidP="00206116">
      <w:pPr>
        <w:autoSpaceDE/>
        <w:autoSpaceDN/>
        <w:adjustRightInd/>
        <w:ind w:left="720"/>
        <w:jc w:val="both"/>
        <w:rPr>
          <w:b/>
          <w:i/>
        </w:rPr>
      </w:pPr>
      <w:r w:rsidRPr="00FF2EC9">
        <w:rPr>
          <w:b/>
          <w:i/>
        </w:rPr>
        <w:lastRenderedPageBreak/>
        <w:t>Cost Method Investment</w:t>
      </w:r>
    </w:p>
    <w:p w14:paraId="3994460E" w14:textId="77777777" w:rsidR="00206116" w:rsidRPr="00FF2EC9" w:rsidRDefault="00206116" w:rsidP="00206116">
      <w:pPr>
        <w:autoSpaceDE/>
        <w:autoSpaceDN/>
        <w:adjustRightInd/>
        <w:ind w:left="720"/>
        <w:jc w:val="both"/>
        <w:rPr>
          <w:b/>
          <w:i/>
        </w:rPr>
      </w:pPr>
    </w:p>
    <w:p w14:paraId="08505E88" w14:textId="77777777" w:rsidR="00206116" w:rsidRPr="00FF2EC9" w:rsidRDefault="00206116" w:rsidP="00206116">
      <w:pPr>
        <w:autoSpaceDE/>
        <w:autoSpaceDN/>
        <w:adjustRightInd/>
        <w:ind w:left="720"/>
        <w:jc w:val="both"/>
      </w:pPr>
      <w:r w:rsidRPr="00FF2EC9">
        <w:t>The Company accounts for certain investments, listed below, using the cost method because the Company does not exercise significant influence over the management.</w:t>
      </w:r>
    </w:p>
    <w:p w14:paraId="0E4739E9" w14:textId="77777777" w:rsidR="00206116" w:rsidRPr="00FF2EC9" w:rsidRDefault="00206116" w:rsidP="00206116">
      <w:pPr>
        <w:autoSpaceDE/>
        <w:autoSpaceDN/>
        <w:adjustRightInd/>
        <w:ind w:left="720"/>
        <w:jc w:val="both"/>
      </w:pPr>
    </w:p>
    <w:p w14:paraId="5D856374" w14:textId="3D5EE346" w:rsidR="00206116" w:rsidRPr="00FF2EC9" w:rsidRDefault="00206116" w:rsidP="00206116">
      <w:pPr>
        <w:autoSpaceDE/>
        <w:autoSpaceDN/>
        <w:adjustRightInd/>
        <w:ind w:left="720"/>
        <w:jc w:val="both"/>
      </w:pPr>
      <w:r w:rsidRPr="00261A4C">
        <w:t xml:space="preserve">The Company's ownership interest in </w:t>
      </w:r>
      <w:proofErr w:type="spellStart"/>
      <w:r w:rsidRPr="00BA6214">
        <w:t>Solix</w:t>
      </w:r>
      <w:proofErr w:type="spellEnd"/>
      <w:r w:rsidRPr="00BA6214">
        <w:t>, Inc.</w:t>
      </w:r>
      <w:r w:rsidRPr="00261A4C">
        <w:t xml:space="preserve"> (“</w:t>
      </w:r>
      <w:proofErr w:type="spellStart"/>
      <w:r w:rsidRPr="00261A4C">
        <w:t>Solix</w:t>
      </w:r>
      <w:proofErr w:type="spellEnd"/>
      <w:r w:rsidRPr="00261A4C">
        <w:t>”) is accounted for using the cost method</w:t>
      </w:r>
      <w:r w:rsidR="000E730B" w:rsidRPr="00261A4C">
        <w:t xml:space="preserve">. </w:t>
      </w:r>
      <w:proofErr w:type="spellStart"/>
      <w:r w:rsidRPr="00261A4C">
        <w:t>Solix</w:t>
      </w:r>
      <w:proofErr w:type="spellEnd"/>
      <w:r w:rsidRPr="00261A4C">
        <w:t xml:space="preserve"> is an outsourcing firm that provides services such as </w:t>
      </w:r>
      <w:r w:rsidR="00CD6275">
        <w:t xml:space="preserve">USF administration services and other business process </w:t>
      </w:r>
      <w:r w:rsidRPr="00261A4C">
        <w:t xml:space="preserve">to the telecommunications industry. The carrying value </w:t>
      </w:r>
      <w:r w:rsidRPr="009B3908">
        <w:t xml:space="preserve">of such investment </w:t>
      </w:r>
      <w:r w:rsidR="00BA6214" w:rsidRPr="009B3908">
        <w:t xml:space="preserve">as of </w:t>
      </w:r>
      <w:r w:rsidR="00E831D2">
        <w:t>September</w:t>
      </w:r>
      <w:r w:rsidR="00DF0A4D" w:rsidRPr="009B3908">
        <w:t xml:space="preserve"> 3</w:t>
      </w:r>
      <w:r w:rsidR="007B34F2" w:rsidRPr="009B3908">
        <w:t>0</w:t>
      </w:r>
      <w:r w:rsidR="00A64B39" w:rsidRPr="009B3908">
        <w:t>, 202</w:t>
      </w:r>
      <w:r w:rsidR="00427D9E" w:rsidRPr="009B3908">
        <w:t>1</w:t>
      </w:r>
      <w:r w:rsidR="00A64B39" w:rsidRPr="009B3908">
        <w:t>, December 31, 20</w:t>
      </w:r>
      <w:r w:rsidR="00427D9E" w:rsidRPr="009B3908">
        <w:t>20</w:t>
      </w:r>
      <w:r w:rsidR="00A64B39" w:rsidRPr="009B3908">
        <w:t xml:space="preserve">, and </w:t>
      </w:r>
      <w:r w:rsidR="00E831D2">
        <w:t>September</w:t>
      </w:r>
      <w:r w:rsidR="00DF0A4D" w:rsidRPr="009B3908">
        <w:t xml:space="preserve"> 3</w:t>
      </w:r>
      <w:r w:rsidR="007B34F2" w:rsidRPr="009B3908">
        <w:t>0</w:t>
      </w:r>
      <w:r w:rsidR="00A64B39" w:rsidRPr="009B3908">
        <w:t xml:space="preserve">, </w:t>
      </w:r>
      <w:r w:rsidR="00E22862" w:rsidRPr="009B3908">
        <w:t>2020,</w:t>
      </w:r>
      <w:r w:rsidR="00A64B39" w:rsidRPr="009B3908">
        <w:t xml:space="preserve"> </w:t>
      </w:r>
      <w:r w:rsidRPr="009B3908">
        <w:t xml:space="preserve">was </w:t>
      </w:r>
      <w:r w:rsidRPr="005E5890">
        <w:t>$100</w:t>
      </w:r>
      <w:r w:rsidR="00C06A9B" w:rsidRPr="005E5890">
        <w:t>,000</w:t>
      </w:r>
      <w:r w:rsidR="009158F1" w:rsidRPr="005E5890">
        <w:t>.</w:t>
      </w:r>
      <w:r w:rsidR="009158F1" w:rsidRPr="00FF2EC9">
        <w:t xml:space="preserve"> </w:t>
      </w:r>
    </w:p>
    <w:p w14:paraId="614541BD" w14:textId="77777777" w:rsidR="00206116" w:rsidRPr="00FF2EC9" w:rsidRDefault="00206116" w:rsidP="00206116">
      <w:pPr>
        <w:autoSpaceDE/>
        <w:autoSpaceDN/>
        <w:adjustRightInd/>
        <w:ind w:left="720"/>
        <w:jc w:val="both"/>
      </w:pPr>
    </w:p>
    <w:p w14:paraId="5427F7F2" w14:textId="77777777" w:rsidR="009A23BB" w:rsidRPr="00FF2EC9" w:rsidRDefault="009A23BB" w:rsidP="009A23BB">
      <w:pPr>
        <w:autoSpaceDE/>
        <w:autoSpaceDN/>
        <w:adjustRightInd/>
        <w:ind w:left="720"/>
        <w:jc w:val="both"/>
        <w:rPr>
          <w:b/>
          <w:i/>
        </w:rPr>
      </w:pPr>
      <w:r w:rsidRPr="00FF2EC9">
        <w:rPr>
          <w:b/>
          <w:i/>
        </w:rPr>
        <w:t>Marketable Securities</w:t>
      </w:r>
    </w:p>
    <w:p w14:paraId="4A6AB8BD" w14:textId="77777777" w:rsidR="00BE383A" w:rsidRPr="00F2485C" w:rsidRDefault="00BE383A" w:rsidP="00835D0F">
      <w:pPr>
        <w:ind w:left="720"/>
        <w:jc w:val="both"/>
        <w:rPr>
          <w:highlight w:val="yellow"/>
        </w:rPr>
      </w:pPr>
    </w:p>
    <w:p w14:paraId="410C4D16" w14:textId="77777777" w:rsidR="00043269" w:rsidRPr="00043269" w:rsidRDefault="00835D0F" w:rsidP="00835D0F">
      <w:pPr>
        <w:ind w:left="720"/>
        <w:jc w:val="both"/>
      </w:pPr>
      <w:r w:rsidRPr="00043269">
        <w:t xml:space="preserve">In January 2016, the FASB issued ASU 2016-01, which amends the guidance in U.S. GAAP on the classification and measurement of financial instruments. Although the ASU retains many current requirements, it significantly revises an entity’s accounting related to the classification and measurement of investments in equity securities. To adopt the amendments, entities </w:t>
      </w:r>
      <w:r w:rsidR="00BE383A" w:rsidRPr="00043269">
        <w:t xml:space="preserve">are </w:t>
      </w:r>
      <w:r w:rsidRPr="00043269">
        <w:t>required to make a cumulative-effect adjustment to beginning retained earnings as of the beginning of the fiscal year in which the guidance is effective.</w:t>
      </w:r>
    </w:p>
    <w:p w14:paraId="3935DF57" w14:textId="77777777" w:rsidR="00DF1D6C" w:rsidRDefault="00DF1D6C" w:rsidP="009A23BB">
      <w:pPr>
        <w:autoSpaceDE/>
        <w:autoSpaceDN/>
        <w:adjustRightInd/>
        <w:ind w:left="720"/>
        <w:jc w:val="both"/>
        <w:rPr>
          <w:b/>
          <w:i/>
        </w:rPr>
      </w:pPr>
    </w:p>
    <w:p w14:paraId="6AA458EC" w14:textId="5D524BE1" w:rsidR="00206116" w:rsidRDefault="00206116" w:rsidP="009A23BB">
      <w:pPr>
        <w:autoSpaceDE/>
        <w:autoSpaceDN/>
        <w:adjustRightInd/>
        <w:ind w:left="720"/>
        <w:jc w:val="both"/>
        <w:rPr>
          <w:b/>
          <w:i/>
        </w:rPr>
      </w:pPr>
      <w:r w:rsidRPr="00FF2EC9">
        <w:rPr>
          <w:b/>
          <w:i/>
        </w:rPr>
        <w:t>Goodwill</w:t>
      </w:r>
      <w:r w:rsidR="00597B3B">
        <w:rPr>
          <w:b/>
          <w:i/>
        </w:rPr>
        <w:t xml:space="preserve"> and Other Intangible Assets </w:t>
      </w:r>
    </w:p>
    <w:p w14:paraId="1BA9A5CD" w14:textId="564A5814" w:rsidR="00F47AFF" w:rsidRDefault="00F47AFF" w:rsidP="009A23BB">
      <w:pPr>
        <w:autoSpaceDE/>
        <w:autoSpaceDN/>
        <w:adjustRightInd/>
        <w:ind w:left="720"/>
        <w:jc w:val="both"/>
        <w:rPr>
          <w:b/>
          <w:i/>
        </w:rPr>
      </w:pPr>
    </w:p>
    <w:p w14:paraId="41AC5B1A" w14:textId="4827872B" w:rsidR="00597B3B" w:rsidRDefault="00F47AFF" w:rsidP="00597B3B">
      <w:pPr>
        <w:keepNext/>
        <w:tabs>
          <w:tab w:val="left" w:pos="720"/>
        </w:tabs>
        <w:autoSpaceDE/>
        <w:autoSpaceDN/>
        <w:adjustRightInd/>
        <w:ind w:left="720" w:right="20"/>
        <w:jc w:val="both"/>
      </w:pPr>
      <w:r>
        <w:t>T</w:t>
      </w:r>
      <w:r w:rsidR="00597B3B">
        <w:t xml:space="preserve">he Company evaluates the recoverability of goodwill and other intangible assets with indefinite lives for impairment annually, or more often, whenever events or circumstances indicate that such assets may be impaired. The Company estimates the fair value of each reporting unit based on </w:t>
      </w:r>
      <w:proofErr w:type="gramStart"/>
      <w:r w:rsidR="00597B3B">
        <w:t>a number of</w:t>
      </w:r>
      <w:proofErr w:type="gramEnd"/>
      <w:r w:rsidR="00597B3B">
        <w:t xml:space="preserve"> subjective factors, including: (a) appropriate weighting of valuation approaches (income approach and market approaches), (b) estimates of our future cost structure, (c) discount rates for our estimated cash flows, (d) selection of peer group companies for the market approach, (e) required level of working capital, (f) assumed terminal value and (g) time horizon of cash flow forecasts.</w:t>
      </w:r>
    </w:p>
    <w:p w14:paraId="0C2FD57B" w14:textId="77777777" w:rsidR="00597B3B" w:rsidRDefault="00597B3B" w:rsidP="00597B3B">
      <w:pPr>
        <w:keepNext/>
        <w:tabs>
          <w:tab w:val="left" w:pos="720"/>
        </w:tabs>
        <w:autoSpaceDE/>
        <w:autoSpaceDN/>
        <w:adjustRightInd/>
        <w:ind w:left="720" w:right="20"/>
        <w:jc w:val="both"/>
      </w:pPr>
    </w:p>
    <w:p w14:paraId="4FC19DF3" w14:textId="4F866C79" w:rsidR="00206116" w:rsidRPr="00FF2EC9" w:rsidRDefault="00597B3B" w:rsidP="00261A4C">
      <w:pPr>
        <w:autoSpaceDE/>
        <w:autoSpaceDN/>
        <w:adjustRightInd/>
        <w:ind w:left="720"/>
        <w:jc w:val="both"/>
        <w:rPr>
          <w:bCs/>
        </w:rPr>
      </w:pPr>
      <w:r>
        <w:t xml:space="preserve">The impairment test for other intangible assets not subject to amortization consists of a comparison of the fair value of the intangible asset with </w:t>
      </w:r>
      <w:proofErr w:type="gramStart"/>
      <w:r>
        <w:t>its</w:t>
      </w:r>
      <w:proofErr w:type="gramEnd"/>
      <w:r>
        <w:t xml:space="preserve"> carrying value. If the carrying value of the intangible asset exceeds its fair value, an impairment loss is recognized in an amount equal to that excess. </w:t>
      </w:r>
      <w:r w:rsidR="00206116" w:rsidRPr="009B3908">
        <w:rPr>
          <w:bCs/>
        </w:rPr>
        <w:t xml:space="preserve">There were no impairment losses recorded during the </w:t>
      </w:r>
      <w:r w:rsidR="00F027B0" w:rsidRPr="009B3908">
        <w:rPr>
          <w:bCs/>
        </w:rPr>
        <w:t>t</w:t>
      </w:r>
      <w:r w:rsidR="00427D9E" w:rsidRPr="009B3908">
        <w:rPr>
          <w:bCs/>
        </w:rPr>
        <w:t>hree</w:t>
      </w:r>
      <w:r w:rsidRPr="009B3908">
        <w:rPr>
          <w:bCs/>
        </w:rPr>
        <w:t xml:space="preserve"> </w:t>
      </w:r>
      <w:r w:rsidR="00E43525" w:rsidRPr="009B3908">
        <w:rPr>
          <w:bCs/>
        </w:rPr>
        <w:t xml:space="preserve"> </w:t>
      </w:r>
      <w:r w:rsidR="009B3908" w:rsidRPr="009B3908">
        <w:rPr>
          <w:bCs/>
        </w:rPr>
        <w:t xml:space="preserve">and </w:t>
      </w:r>
      <w:r w:rsidR="00E831D2">
        <w:rPr>
          <w:bCs/>
        </w:rPr>
        <w:t>nine</w:t>
      </w:r>
      <w:r w:rsidR="009B3908" w:rsidRPr="009B3908">
        <w:rPr>
          <w:bCs/>
        </w:rPr>
        <w:t xml:space="preserve"> </w:t>
      </w:r>
      <w:r w:rsidR="00F027B0" w:rsidRPr="009B3908">
        <w:rPr>
          <w:bCs/>
        </w:rPr>
        <w:t>m</w:t>
      </w:r>
      <w:r w:rsidR="005F5985" w:rsidRPr="009B3908">
        <w:rPr>
          <w:bCs/>
        </w:rPr>
        <w:t xml:space="preserve">onths </w:t>
      </w:r>
      <w:r w:rsidR="00F027B0" w:rsidRPr="009B3908">
        <w:rPr>
          <w:bCs/>
        </w:rPr>
        <w:t>e</w:t>
      </w:r>
      <w:r w:rsidR="00206116" w:rsidRPr="009B3908">
        <w:rPr>
          <w:bCs/>
        </w:rPr>
        <w:t>nd</w:t>
      </w:r>
      <w:r w:rsidR="005F5985" w:rsidRPr="009B3908">
        <w:rPr>
          <w:bCs/>
        </w:rPr>
        <w:t xml:space="preserve">ed </w:t>
      </w:r>
      <w:r w:rsidR="00E831D2">
        <w:rPr>
          <w:bCs/>
        </w:rPr>
        <w:t>September</w:t>
      </w:r>
      <w:r w:rsidR="0023528E" w:rsidRPr="009B3908">
        <w:rPr>
          <w:bCs/>
        </w:rPr>
        <w:t xml:space="preserve"> 3</w:t>
      </w:r>
      <w:r w:rsidR="007B34F2" w:rsidRPr="009B3908">
        <w:rPr>
          <w:bCs/>
        </w:rPr>
        <w:t>0</w:t>
      </w:r>
      <w:r w:rsidR="00206116" w:rsidRPr="009B3908">
        <w:rPr>
          <w:bCs/>
        </w:rPr>
        <w:t>, 20</w:t>
      </w:r>
      <w:r w:rsidRPr="009B3908">
        <w:rPr>
          <w:bCs/>
        </w:rPr>
        <w:t>2</w:t>
      </w:r>
      <w:r w:rsidR="006848C0" w:rsidRPr="009B3908">
        <w:rPr>
          <w:bCs/>
        </w:rPr>
        <w:t>1</w:t>
      </w:r>
    </w:p>
    <w:p w14:paraId="09B977A8" w14:textId="77777777" w:rsidR="00546357" w:rsidRDefault="00546357" w:rsidP="00206116">
      <w:pPr>
        <w:autoSpaceDE/>
        <w:autoSpaceDN/>
        <w:adjustRightInd/>
        <w:ind w:left="720"/>
        <w:jc w:val="both"/>
        <w:rPr>
          <w:b/>
          <w:i/>
        </w:rPr>
      </w:pPr>
    </w:p>
    <w:p w14:paraId="01FBC70B" w14:textId="374DBE32" w:rsidR="00206116" w:rsidRPr="00FF2EC9" w:rsidRDefault="00206116" w:rsidP="00206116">
      <w:pPr>
        <w:autoSpaceDE/>
        <w:autoSpaceDN/>
        <w:adjustRightInd/>
        <w:ind w:left="720"/>
        <w:jc w:val="both"/>
        <w:rPr>
          <w:b/>
          <w:i/>
        </w:rPr>
      </w:pPr>
      <w:r w:rsidRPr="00FF2EC9">
        <w:rPr>
          <w:b/>
          <w:i/>
        </w:rPr>
        <w:t xml:space="preserve">Telecommunications Plant and Equipment </w:t>
      </w:r>
    </w:p>
    <w:p w14:paraId="330FB03D" w14:textId="77777777" w:rsidR="00206116" w:rsidRPr="00FF2EC9" w:rsidRDefault="00206116" w:rsidP="00206116">
      <w:pPr>
        <w:keepNext/>
        <w:tabs>
          <w:tab w:val="left" w:pos="720"/>
        </w:tabs>
        <w:autoSpaceDE/>
        <w:autoSpaceDN/>
        <w:adjustRightInd/>
        <w:ind w:left="720" w:right="20"/>
        <w:jc w:val="both"/>
      </w:pPr>
    </w:p>
    <w:p w14:paraId="7BE8D353" w14:textId="32F4D842" w:rsidR="00206116" w:rsidRPr="00FF2EC9" w:rsidRDefault="00206116" w:rsidP="00206116">
      <w:pPr>
        <w:keepNext/>
        <w:tabs>
          <w:tab w:val="left" w:pos="720"/>
        </w:tabs>
        <w:autoSpaceDE/>
        <w:autoSpaceDN/>
        <w:adjustRightInd/>
        <w:ind w:left="720" w:right="20"/>
        <w:jc w:val="both"/>
      </w:pPr>
      <w:r w:rsidRPr="00FF2EC9">
        <w:t xml:space="preserve">Additions to </w:t>
      </w:r>
      <w:r w:rsidR="00C06E02">
        <w:t>the</w:t>
      </w:r>
      <w:r w:rsidR="00F47AFF">
        <w:t xml:space="preserve"> </w:t>
      </w:r>
      <w:r w:rsidR="00F53C7F">
        <w:t>t</w:t>
      </w:r>
      <w:r w:rsidR="00597B3B">
        <w:t xml:space="preserve">elecommunications </w:t>
      </w:r>
      <w:r w:rsidRPr="00FF2EC9">
        <w:t>plant and equipment are recorded at cost, which includes contracted work, direct labor and materials, and allocable overheads</w:t>
      </w:r>
      <w:r w:rsidR="009158F1" w:rsidRPr="00FF2EC9">
        <w:t xml:space="preserve">. </w:t>
      </w:r>
      <w:r w:rsidRPr="00FF2EC9">
        <w:t>When units of plant and equipment are retired, sold, or otherwise disposed of in the ordinary course of business, their average book cost less net salvage is charged to accumulated depreciation</w:t>
      </w:r>
      <w:r w:rsidR="009158F1" w:rsidRPr="00FF2EC9">
        <w:t xml:space="preserve">. </w:t>
      </w:r>
      <w:r w:rsidRPr="00FF2EC9">
        <w:lastRenderedPageBreak/>
        <w:t>Maintenance and repair costs and the replacement and renewal of items determined to be less than units of plant and equipment are charged to expense.</w:t>
      </w:r>
    </w:p>
    <w:p w14:paraId="2E000CB7" w14:textId="77777777" w:rsidR="00206116" w:rsidRPr="00FF2EC9" w:rsidRDefault="00206116" w:rsidP="00206116">
      <w:pPr>
        <w:keepNext/>
        <w:tabs>
          <w:tab w:val="left" w:pos="720"/>
        </w:tabs>
        <w:autoSpaceDE/>
        <w:autoSpaceDN/>
        <w:adjustRightInd/>
        <w:ind w:left="720" w:right="20"/>
        <w:jc w:val="both"/>
      </w:pPr>
    </w:p>
    <w:p w14:paraId="52F4A22B" w14:textId="77777777" w:rsidR="00206116" w:rsidRPr="00FF2EC9" w:rsidRDefault="00206116" w:rsidP="00206116">
      <w:pPr>
        <w:keepNext/>
        <w:tabs>
          <w:tab w:val="left" w:pos="720"/>
        </w:tabs>
        <w:autoSpaceDE/>
        <w:autoSpaceDN/>
        <w:adjustRightInd/>
        <w:ind w:left="720" w:right="20"/>
        <w:jc w:val="both"/>
        <w:rPr>
          <w:b/>
          <w:i/>
        </w:rPr>
      </w:pPr>
      <w:r w:rsidRPr="00FF2EC9">
        <w:rPr>
          <w:b/>
          <w:i/>
        </w:rPr>
        <w:t xml:space="preserve">Depreciation </w:t>
      </w:r>
    </w:p>
    <w:p w14:paraId="0DFE35B9" w14:textId="77777777" w:rsidR="00206116" w:rsidRPr="00FF2EC9" w:rsidRDefault="00206116" w:rsidP="00206116">
      <w:pPr>
        <w:keepNext/>
        <w:tabs>
          <w:tab w:val="left" w:pos="720"/>
        </w:tabs>
        <w:autoSpaceDE/>
        <w:autoSpaceDN/>
        <w:adjustRightInd/>
        <w:ind w:left="720" w:right="20"/>
        <w:jc w:val="both"/>
      </w:pPr>
    </w:p>
    <w:p w14:paraId="6C5FB579" w14:textId="00C19BD5" w:rsidR="00206116" w:rsidRPr="00FF2EC9" w:rsidRDefault="00206116" w:rsidP="00206116">
      <w:pPr>
        <w:keepNext/>
        <w:tabs>
          <w:tab w:val="left" w:pos="720"/>
        </w:tabs>
        <w:autoSpaceDE/>
        <w:autoSpaceDN/>
        <w:adjustRightInd/>
        <w:ind w:left="720" w:right="20"/>
        <w:jc w:val="both"/>
      </w:pPr>
      <w:proofErr w:type="gramStart"/>
      <w:r w:rsidRPr="00FF2EC9">
        <w:t>The majority of</w:t>
      </w:r>
      <w:proofErr w:type="gramEnd"/>
      <w:r w:rsidRPr="00FF2EC9">
        <w:t xml:space="preserve"> plant and equipment </w:t>
      </w:r>
      <w:r w:rsidR="0062170B">
        <w:t xml:space="preserve">are </w:t>
      </w:r>
      <w:r w:rsidRPr="00FF2EC9">
        <w:t>used for the wireline telephone business.  Depreciation is based on the composite group remaining life method and straight-line composite rates</w:t>
      </w:r>
      <w:r w:rsidR="009158F1" w:rsidRPr="00FF2EC9">
        <w:t xml:space="preserve">. </w:t>
      </w:r>
      <w:r w:rsidRPr="00FF2EC9">
        <w:t>This methodology provides for the recognition of the cost of the remaining investment in telephone plant and equipment less anticipated positive net salvage value, over the remaining asset lives</w:t>
      </w:r>
      <w:r w:rsidR="009158F1" w:rsidRPr="00FF2EC9">
        <w:t xml:space="preserve">. </w:t>
      </w:r>
      <w:r w:rsidRPr="00FF2EC9">
        <w:t>When depreciable telephone plant is replaced or retired, the carrying amount of such plant is deducted from the respective accounts and charged to accumulated depreciation, and no gain or loss is recognized</w:t>
      </w:r>
      <w:r w:rsidR="009158F1" w:rsidRPr="00FF2EC9">
        <w:t xml:space="preserve">. </w:t>
      </w:r>
    </w:p>
    <w:p w14:paraId="2EC1D6CC" w14:textId="77777777" w:rsidR="00206116" w:rsidRPr="00FF2EC9" w:rsidRDefault="00206116" w:rsidP="00206116">
      <w:pPr>
        <w:keepNext/>
        <w:tabs>
          <w:tab w:val="left" w:pos="720"/>
        </w:tabs>
        <w:autoSpaceDE/>
        <w:autoSpaceDN/>
        <w:adjustRightInd/>
        <w:ind w:left="720" w:right="20"/>
        <w:jc w:val="both"/>
      </w:pPr>
    </w:p>
    <w:p w14:paraId="5D5A230E" w14:textId="77777777" w:rsidR="00977BA9" w:rsidRPr="00FF2EC9" w:rsidRDefault="009A23BB" w:rsidP="00977BA9">
      <w:pPr>
        <w:keepNext/>
        <w:tabs>
          <w:tab w:val="left" w:pos="720"/>
        </w:tabs>
        <w:autoSpaceDE/>
        <w:autoSpaceDN/>
        <w:adjustRightInd/>
        <w:ind w:left="720" w:right="20"/>
        <w:jc w:val="both"/>
        <w:rPr>
          <w:b/>
          <w:i/>
        </w:rPr>
      </w:pPr>
      <w:r w:rsidRPr="00FF2EC9">
        <w:rPr>
          <w:b/>
          <w:i/>
        </w:rPr>
        <w:t>Fair Value Measurement</w:t>
      </w:r>
    </w:p>
    <w:p w14:paraId="65FFACD8" w14:textId="77777777" w:rsidR="00977BA9" w:rsidRPr="00FF2EC9" w:rsidRDefault="00977BA9" w:rsidP="00977BA9">
      <w:pPr>
        <w:keepNext/>
        <w:tabs>
          <w:tab w:val="left" w:pos="720"/>
        </w:tabs>
        <w:autoSpaceDE/>
        <w:autoSpaceDN/>
        <w:adjustRightInd/>
        <w:ind w:left="720" w:right="20"/>
        <w:jc w:val="both"/>
        <w:rPr>
          <w:b/>
          <w:i/>
        </w:rPr>
      </w:pPr>
    </w:p>
    <w:p w14:paraId="1C96D5BA" w14:textId="3A8CCAE8" w:rsidR="009A23BB" w:rsidRPr="00FF2EC9" w:rsidRDefault="009A23BB" w:rsidP="00977BA9">
      <w:pPr>
        <w:keepNext/>
        <w:tabs>
          <w:tab w:val="left" w:pos="720"/>
        </w:tabs>
        <w:autoSpaceDE/>
        <w:autoSpaceDN/>
        <w:adjustRightInd/>
        <w:ind w:left="720" w:right="20"/>
        <w:jc w:val="both"/>
      </w:pPr>
      <w:r w:rsidRPr="00FF2EC9">
        <w:t>The Company follows the authoritative guidance for fair value measurements of financial assets and</w:t>
      </w:r>
      <w:r w:rsidR="00977BA9" w:rsidRPr="00FF2EC9">
        <w:t xml:space="preserve"> </w:t>
      </w:r>
      <w:r w:rsidRPr="00FF2EC9">
        <w:t>financial liabilities and for fair value measurements of nonfinancial items that are recognized or disclosed</w:t>
      </w:r>
      <w:r w:rsidR="00977BA9" w:rsidRPr="00FF2EC9">
        <w:t xml:space="preserve"> </w:t>
      </w:r>
      <w:r w:rsidRPr="00FF2EC9">
        <w:t>at fair value in the financial statements on a recurring basis, and of nonfinancial assets and nonfinancial</w:t>
      </w:r>
      <w:r w:rsidR="00D65FEE" w:rsidRPr="00FF2EC9">
        <w:t xml:space="preserve"> </w:t>
      </w:r>
      <w:r w:rsidRPr="00FF2EC9">
        <w:t xml:space="preserve">liabilities that are recognized or disclosed at fair value in the financial statements on a nonrecurring </w:t>
      </w:r>
      <w:r w:rsidR="009158F1" w:rsidRPr="00FF2EC9">
        <w:t>basis or</w:t>
      </w:r>
      <w:r w:rsidRPr="00FF2EC9">
        <w:t xml:space="preserve"> are presented only in disclosures. Authoritative guidance defines fair value as the price that would be</w:t>
      </w:r>
      <w:r w:rsidR="00D65FEE" w:rsidRPr="00FF2EC9">
        <w:t xml:space="preserve"> </w:t>
      </w:r>
      <w:r w:rsidRPr="00FF2EC9">
        <w:t>received to sell an asset or paid to transfer a liability in an orderly transaction between market participants</w:t>
      </w:r>
      <w:r w:rsidR="00D65FEE" w:rsidRPr="00FF2EC9">
        <w:t xml:space="preserve"> </w:t>
      </w:r>
      <w:r w:rsidRPr="00FF2EC9">
        <w:t>at the measurement date and establishes a fair value hierarchy that prioritizes the inputs to valuation</w:t>
      </w:r>
      <w:r w:rsidR="00D65FEE" w:rsidRPr="00FF2EC9">
        <w:t xml:space="preserve"> </w:t>
      </w:r>
      <w:r w:rsidRPr="00FF2EC9">
        <w:t>techniques used to measure fair value into three levels. Level 1 inputs are quoted prices in active markets</w:t>
      </w:r>
      <w:r w:rsidR="00D65FEE" w:rsidRPr="00FF2EC9">
        <w:t xml:space="preserve"> </w:t>
      </w:r>
      <w:r w:rsidRPr="00FF2EC9">
        <w:t>for identical assets or liabilities. Level 2 inputs include quoted prices for similar assets and liabilities in</w:t>
      </w:r>
      <w:r w:rsidR="00D65FEE" w:rsidRPr="00FF2EC9">
        <w:t xml:space="preserve"> </w:t>
      </w:r>
      <w:r w:rsidRPr="00FF2EC9">
        <w:t>active markets,</w:t>
      </w:r>
      <w:r w:rsidR="00F41A7A">
        <w:t xml:space="preserve"> </w:t>
      </w:r>
      <w:r w:rsidRPr="00FF2EC9">
        <w:t>or quoted prices for identical assets and liabilities in inactive markets. Level 3 inputs are</w:t>
      </w:r>
      <w:r w:rsidR="00D65FEE" w:rsidRPr="00FF2EC9">
        <w:t xml:space="preserve"> </w:t>
      </w:r>
      <w:r w:rsidRPr="00FF2EC9">
        <w:t>unobservable.</w:t>
      </w:r>
    </w:p>
    <w:p w14:paraId="619212B1" w14:textId="77777777" w:rsidR="007F5283" w:rsidRPr="00FF2EC9" w:rsidRDefault="007F5283" w:rsidP="009A23BB">
      <w:pPr>
        <w:rPr>
          <w:rFonts w:eastAsiaTheme="minorHAnsi"/>
        </w:rPr>
      </w:pPr>
    </w:p>
    <w:p w14:paraId="4CEBD312" w14:textId="316632A0" w:rsidR="00635D8E" w:rsidRPr="00FF2EC9" w:rsidRDefault="009A23BB" w:rsidP="00D65FEE">
      <w:pPr>
        <w:keepNext/>
        <w:tabs>
          <w:tab w:val="left" w:pos="720"/>
        </w:tabs>
        <w:autoSpaceDE/>
        <w:autoSpaceDN/>
        <w:adjustRightInd/>
        <w:ind w:left="720" w:right="20"/>
        <w:jc w:val="both"/>
      </w:pPr>
      <w:r w:rsidRPr="00FF2EC9">
        <w:t xml:space="preserve">The Company has </w:t>
      </w:r>
      <w:r w:rsidR="007F5283" w:rsidRPr="00FF2EC9">
        <w:t xml:space="preserve">three </w:t>
      </w:r>
      <w:r w:rsidRPr="00FF2EC9">
        <w:t xml:space="preserve">types of assets that are measured at fair value. </w:t>
      </w:r>
      <w:r w:rsidR="00977BA9" w:rsidRPr="00FF2EC9">
        <w:t>A money market mutual fund that invest</w:t>
      </w:r>
      <w:r w:rsidR="0009229E" w:rsidRPr="00FF2EC9">
        <w:t>s in</w:t>
      </w:r>
      <w:r w:rsidR="00977BA9" w:rsidRPr="00FF2EC9">
        <w:t xml:space="preserve"> </w:t>
      </w:r>
      <w:r w:rsidRPr="00FF2EC9">
        <w:t>U</w:t>
      </w:r>
      <w:r w:rsidR="007A7297" w:rsidRPr="00FF2EC9">
        <w:t xml:space="preserve">nited </w:t>
      </w:r>
      <w:r w:rsidRPr="00FF2EC9">
        <w:t>S</w:t>
      </w:r>
      <w:r w:rsidR="007A7297" w:rsidRPr="00FF2EC9">
        <w:t>tates</w:t>
      </w:r>
      <w:r w:rsidRPr="00FF2EC9">
        <w:t xml:space="preserve"> Treasury bills, included in cash</w:t>
      </w:r>
      <w:r w:rsidR="00977BA9" w:rsidRPr="00FF2EC9">
        <w:t xml:space="preserve"> </w:t>
      </w:r>
      <w:r w:rsidRPr="00FF2EC9">
        <w:t>and cash equivalents</w:t>
      </w:r>
      <w:r w:rsidR="00977BA9" w:rsidRPr="00FF2EC9">
        <w:t>, U</w:t>
      </w:r>
      <w:r w:rsidR="007A7297" w:rsidRPr="00FF2EC9">
        <w:t xml:space="preserve">nited </w:t>
      </w:r>
      <w:r w:rsidR="00977BA9" w:rsidRPr="00FF2EC9">
        <w:t>S</w:t>
      </w:r>
      <w:r w:rsidR="007A7297" w:rsidRPr="00FF2EC9">
        <w:t>tates</w:t>
      </w:r>
      <w:r w:rsidR="00977BA9" w:rsidRPr="00FF2EC9">
        <w:t xml:space="preserve"> Treasury Bills owned by the company, included in United States Treasury Bills</w:t>
      </w:r>
      <w:r w:rsidRPr="00FF2EC9">
        <w:t>, and marketable securities, included in other</w:t>
      </w:r>
      <w:r w:rsidR="00977BA9" w:rsidRPr="00FF2EC9">
        <w:t xml:space="preserve"> investments</w:t>
      </w:r>
      <w:r w:rsidRPr="00FF2EC9">
        <w:t xml:space="preserve">, which are </w:t>
      </w:r>
      <w:r w:rsidR="00977BA9" w:rsidRPr="00FF2EC9">
        <w:t>all</w:t>
      </w:r>
      <w:r w:rsidRPr="00FF2EC9">
        <w:t xml:space="preserve"> classified as Level 1 inputs, because they are valued using quoted market prices</w:t>
      </w:r>
      <w:r w:rsidRPr="00CE18F4">
        <w:t xml:space="preserve">. </w:t>
      </w:r>
      <w:r w:rsidR="00977BA9" w:rsidRPr="00CE18F4">
        <w:t>A</w:t>
      </w:r>
      <w:r w:rsidR="00E071E3">
        <w:t xml:space="preserve">s of </w:t>
      </w:r>
      <w:r w:rsidR="00255DE6">
        <w:t>September</w:t>
      </w:r>
      <w:r w:rsidR="00DF0A4D" w:rsidRPr="00A4160D">
        <w:t xml:space="preserve"> 3</w:t>
      </w:r>
      <w:r w:rsidR="007B34F2" w:rsidRPr="00A4160D">
        <w:t>0</w:t>
      </w:r>
      <w:r w:rsidR="005F5985" w:rsidRPr="00A4160D">
        <w:t>, 20</w:t>
      </w:r>
      <w:r w:rsidR="002A3AE8" w:rsidRPr="00A4160D">
        <w:t>2</w:t>
      </w:r>
      <w:r w:rsidR="00427D9E" w:rsidRPr="00A4160D">
        <w:t>1</w:t>
      </w:r>
      <w:r w:rsidR="005F5985" w:rsidRPr="00A4160D">
        <w:t xml:space="preserve">, </w:t>
      </w:r>
      <w:r w:rsidR="00977BA9" w:rsidRPr="00A4160D">
        <w:t xml:space="preserve">December </w:t>
      </w:r>
      <w:r w:rsidR="00977BA9" w:rsidRPr="000D11A0">
        <w:t xml:space="preserve">31, </w:t>
      </w:r>
      <w:r w:rsidR="00635D8E" w:rsidRPr="000D11A0">
        <w:t>2020,</w:t>
      </w:r>
      <w:r w:rsidR="00977BA9" w:rsidRPr="000D11A0">
        <w:t xml:space="preserve"> and </w:t>
      </w:r>
      <w:r w:rsidR="00255DE6" w:rsidRPr="000D11A0">
        <w:t>September</w:t>
      </w:r>
      <w:r w:rsidR="00DF0A4D" w:rsidRPr="000D11A0">
        <w:t xml:space="preserve"> 3</w:t>
      </w:r>
      <w:r w:rsidR="007B34F2" w:rsidRPr="000D11A0">
        <w:t>0</w:t>
      </w:r>
      <w:r w:rsidR="002A3AE8" w:rsidRPr="000D11A0">
        <w:t>,</w:t>
      </w:r>
      <w:r w:rsidR="005F5985" w:rsidRPr="000D11A0">
        <w:t xml:space="preserve"> 20</w:t>
      </w:r>
      <w:r w:rsidR="00427D9E" w:rsidRPr="000D11A0">
        <w:t>20</w:t>
      </w:r>
      <w:r w:rsidR="00977BA9" w:rsidRPr="000D11A0">
        <w:t xml:space="preserve">, the money market mutual fund had values </w:t>
      </w:r>
      <w:r w:rsidR="00977BA9" w:rsidRPr="00EE2E9D">
        <w:t>of</w:t>
      </w:r>
      <w:r w:rsidR="00754918" w:rsidRPr="00EE2E9D">
        <w:t xml:space="preserve"> </w:t>
      </w:r>
      <w:r w:rsidR="005F5985" w:rsidRPr="00EE2E9D">
        <w:t>$</w:t>
      </w:r>
      <w:r w:rsidR="000D11A0" w:rsidRPr="00EE2E9D">
        <w:t>962</w:t>
      </w:r>
      <w:r w:rsidR="00635D8E" w:rsidRPr="00EE2E9D">
        <w:t>,</w:t>
      </w:r>
      <w:r w:rsidR="00C06A9B" w:rsidRPr="00EE2E9D">
        <w:t>000</w:t>
      </w:r>
      <w:r w:rsidR="00B7423C" w:rsidRPr="00EE2E9D">
        <w:t>,</w:t>
      </w:r>
      <w:r w:rsidR="00E071E3" w:rsidRPr="00EE2E9D">
        <w:t xml:space="preserve"> </w:t>
      </w:r>
      <w:r w:rsidR="009158F1" w:rsidRPr="00EE2E9D">
        <w:t>$8,419,000,</w:t>
      </w:r>
      <w:r w:rsidR="00E071E3" w:rsidRPr="000D11A0">
        <w:t xml:space="preserve"> </w:t>
      </w:r>
      <w:r w:rsidR="00977BA9" w:rsidRPr="000D11A0">
        <w:t>and</w:t>
      </w:r>
      <w:r w:rsidR="00754918" w:rsidRPr="000D11A0">
        <w:t xml:space="preserve"> $</w:t>
      </w:r>
      <w:r w:rsidR="00EE2E9D">
        <w:t>9</w:t>
      </w:r>
      <w:r w:rsidR="000D11A0">
        <w:t>,</w:t>
      </w:r>
      <w:r w:rsidR="00EE2E9D">
        <w:t>075</w:t>
      </w:r>
      <w:r w:rsidR="00977BA9" w:rsidRPr="000D11A0">
        <w:t>,</w:t>
      </w:r>
      <w:r w:rsidR="00C06A9B" w:rsidRPr="000D11A0">
        <w:t>000</w:t>
      </w:r>
      <w:r w:rsidR="00977BA9" w:rsidRPr="000D11A0">
        <w:t xml:space="preserve"> respectively</w:t>
      </w:r>
      <w:r w:rsidR="00E071E3" w:rsidRPr="000D11A0">
        <w:t>; the US Treasury</w:t>
      </w:r>
      <w:r w:rsidR="00635D8E" w:rsidRPr="000D11A0">
        <w:t xml:space="preserve"> Bills had values of</w:t>
      </w:r>
      <w:r w:rsidR="00EE2E9D">
        <w:t xml:space="preserve"> </w:t>
      </w:r>
      <w:r w:rsidR="00635D8E" w:rsidRPr="000D11A0">
        <w:t>$2</w:t>
      </w:r>
      <w:r w:rsidR="00E04F77" w:rsidRPr="000D11A0">
        <w:t>3</w:t>
      </w:r>
      <w:r w:rsidR="00635D8E" w:rsidRPr="000D11A0">
        <w:t>,</w:t>
      </w:r>
      <w:r w:rsidR="00E04F77" w:rsidRPr="000D11A0">
        <w:t>99</w:t>
      </w:r>
      <w:r w:rsidR="00EE2E9D">
        <w:t>9</w:t>
      </w:r>
      <w:r w:rsidR="00635D8E" w:rsidRPr="000D11A0">
        <w:t>,</w:t>
      </w:r>
      <w:r w:rsidR="00C06A9B" w:rsidRPr="000D11A0">
        <w:t>000,</w:t>
      </w:r>
      <w:r w:rsidR="00635D8E" w:rsidRPr="000D11A0">
        <w:t xml:space="preserve"> $15,000,</w:t>
      </w:r>
      <w:r w:rsidR="00C06A9B" w:rsidRPr="000D11A0">
        <w:t xml:space="preserve">000, </w:t>
      </w:r>
      <w:r w:rsidR="00635D8E" w:rsidRPr="000D11A0">
        <w:t>and $0, respectively</w:t>
      </w:r>
      <w:proofErr w:type="gramStart"/>
      <w:r w:rsidR="00635D8E" w:rsidRPr="000D11A0">
        <w:t>.</w:t>
      </w:r>
      <w:r w:rsidR="00635D8E">
        <w:t xml:space="preserve">  </w:t>
      </w:r>
      <w:proofErr w:type="gramEnd"/>
    </w:p>
    <w:p w14:paraId="320D3394" w14:textId="77777777" w:rsidR="007F5283" w:rsidRPr="00FF2EC9" w:rsidRDefault="007F5283" w:rsidP="009A23BB">
      <w:pPr>
        <w:rPr>
          <w:rFonts w:eastAsiaTheme="minorHAnsi"/>
        </w:rPr>
      </w:pPr>
    </w:p>
    <w:p w14:paraId="4025766A" w14:textId="50AD80C3" w:rsidR="00977BA9" w:rsidRDefault="009A23BB" w:rsidP="00647DA2">
      <w:pPr>
        <w:keepNext/>
        <w:tabs>
          <w:tab w:val="left" w:pos="720"/>
        </w:tabs>
        <w:autoSpaceDE/>
        <w:autoSpaceDN/>
        <w:adjustRightInd/>
        <w:ind w:left="720" w:right="20"/>
        <w:jc w:val="both"/>
      </w:pPr>
      <w:r w:rsidRPr="00FF2EC9">
        <w:t>Cash in banks, trade accounts receivable, short-term borrowings, trade accounts payable and accrued</w:t>
      </w:r>
      <w:r w:rsidR="00D65FEE" w:rsidRPr="00FF2EC9">
        <w:t xml:space="preserve"> </w:t>
      </w:r>
      <w:r w:rsidRPr="00FF2EC9">
        <w:t>liabilities are carried at cost, which approximates fair value due to the short-term maturity of these</w:t>
      </w:r>
      <w:r w:rsidR="00D65FEE" w:rsidRPr="00FF2EC9">
        <w:t xml:space="preserve"> </w:t>
      </w:r>
      <w:r w:rsidRPr="00FF2EC9">
        <w:t>instruments</w:t>
      </w:r>
      <w:r w:rsidR="00647DA2">
        <w:t>.</w:t>
      </w:r>
    </w:p>
    <w:p w14:paraId="75942DC9" w14:textId="77777777" w:rsidR="00647DA2" w:rsidRPr="00FF2EC9" w:rsidRDefault="00647DA2" w:rsidP="00647DA2">
      <w:pPr>
        <w:keepNext/>
        <w:tabs>
          <w:tab w:val="left" w:pos="720"/>
        </w:tabs>
        <w:autoSpaceDE/>
        <w:autoSpaceDN/>
        <w:adjustRightInd/>
        <w:ind w:left="720" w:right="20"/>
        <w:jc w:val="both"/>
        <w:rPr>
          <w:rFonts w:eastAsiaTheme="minorHAnsi"/>
        </w:rPr>
      </w:pPr>
    </w:p>
    <w:p w14:paraId="783C98D8" w14:textId="77777777" w:rsidR="00206116" w:rsidRPr="00FF2EC9" w:rsidRDefault="00206116" w:rsidP="00206116">
      <w:pPr>
        <w:keepNext/>
        <w:tabs>
          <w:tab w:val="left" w:pos="720"/>
        </w:tabs>
        <w:autoSpaceDE/>
        <w:autoSpaceDN/>
        <w:adjustRightInd/>
        <w:ind w:left="720" w:right="20"/>
        <w:jc w:val="both"/>
        <w:rPr>
          <w:b/>
          <w:i/>
        </w:rPr>
      </w:pPr>
      <w:r w:rsidRPr="00FF2EC9">
        <w:rPr>
          <w:b/>
          <w:i/>
        </w:rPr>
        <w:t>Impairment of Long-Lived Assets</w:t>
      </w:r>
    </w:p>
    <w:p w14:paraId="47C09C97" w14:textId="77777777" w:rsidR="00206116" w:rsidRPr="00FF2EC9" w:rsidRDefault="00206116" w:rsidP="00206116">
      <w:pPr>
        <w:keepNext/>
        <w:tabs>
          <w:tab w:val="left" w:pos="720"/>
        </w:tabs>
        <w:autoSpaceDE/>
        <w:autoSpaceDN/>
        <w:adjustRightInd/>
        <w:ind w:left="720" w:right="20"/>
        <w:jc w:val="both"/>
      </w:pPr>
    </w:p>
    <w:p w14:paraId="43442C17" w14:textId="768ABB3D" w:rsidR="00206116" w:rsidRPr="00FF2EC9" w:rsidRDefault="00206116" w:rsidP="00206116">
      <w:pPr>
        <w:keepNext/>
        <w:tabs>
          <w:tab w:val="left" w:pos="720"/>
        </w:tabs>
        <w:autoSpaceDE/>
        <w:autoSpaceDN/>
        <w:adjustRightInd/>
        <w:ind w:left="720" w:right="20"/>
        <w:jc w:val="both"/>
      </w:pPr>
      <w:r w:rsidRPr="00FF2EC9">
        <w:t>Long-lived assets, such as telecommunications plant, and purchased intangibles subject to amortization, are reviewed for impairment whenever events or changes in circumstances indicate that the carrying amount of an asset may not be recoverable</w:t>
      </w:r>
      <w:r w:rsidR="009158F1" w:rsidRPr="00FF2EC9">
        <w:t xml:space="preserve">. </w:t>
      </w:r>
      <w:r w:rsidRPr="00FF2EC9">
        <w:t xml:space="preserve">Recoverability of </w:t>
      </w:r>
      <w:bookmarkStart w:id="43" w:name="_Hlk75159583"/>
      <w:r w:rsidRPr="00FF2EC9">
        <w:t xml:space="preserve">assets to be held and used is measured by a comparison of the carrying amount of an asset </w:t>
      </w:r>
      <w:r w:rsidRPr="00FF2EC9">
        <w:lastRenderedPageBreak/>
        <w:t>group to estimated undiscounted future cash flows expected to be generated by the asset group</w:t>
      </w:r>
      <w:proofErr w:type="gramStart"/>
      <w:r w:rsidRPr="00FF2EC9">
        <w:t xml:space="preserve">.  </w:t>
      </w:r>
      <w:proofErr w:type="gramEnd"/>
      <w:r w:rsidRPr="00FF2EC9">
        <w:t xml:space="preserve">If the carrying amount of an asset group exceeds its estimated future cash flows, an impairment charge is recognized in the amount by which the carrying amount of the asset group exceeds the fair value of the asset group. </w:t>
      </w:r>
      <w:r w:rsidRPr="00482A6C">
        <w:t xml:space="preserve">There were no asset impairments recorded during the </w:t>
      </w:r>
      <w:r w:rsidR="00E22862" w:rsidRPr="00482A6C">
        <w:t>t</w:t>
      </w:r>
      <w:r w:rsidR="00427D9E" w:rsidRPr="00482A6C">
        <w:t>hree</w:t>
      </w:r>
      <w:r w:rsidR="00F739D7" w:rsidRPr="00482A6C">
        <w:t xml:space="preserve"> </w:t>
      </w:r>
      <w:r w:rsidR="00EF5973" w:rsidRPr="00482A6C">
        <w:t xml:space="preserve">and </w:t>
      </w:r>
      <w:r w:rsidR="00255DE6">
        <w:t>nine</w:t>
      </w:r>
      <w:r w:rsidR="00EF5973" w:rsidRPr="00482A6C">
        <w:t xml:space="preserve"> </w:t>
      </w:r>
      <w:r w:rsidR="00E22862" w:rsidRPr="00482A6C">
        <w:t>m</w:t>
      </w:r>
      <w:r w:rsidR="00723328" w:rsidRPr="00482A6C">
        <w:t xml:space="preserve">onths </w:t>
      </w:r>
      <w:r w:rsidR="00E22862" w:rsidRPr="00482A6C">
        <w:t>e</w:t>
      </w:r>
      <w:r w:rsidRPr="00482A6C">
        <w:t xml:space="preserve">nded </w:t>
      </w:r>
      <w:r w:rsidR="000D11A0">
        <w:t>September</w:t>
      </w:r>
      <w:r w:rsidR="00DF0A4D" w:rsidRPr="00482A6C">
        <w:t xml:space="preserve"> 3</w:t>
      </w:r>
      <w:r w:rsidR="007B34F2" w:rsidRPr="00482A6C">
        <w:t>0</w:t>
      </w:r>
      <w:r w:rsidRPr="00482A6C">
        <w:t xml:space="preserve">, </w:t>
      </w:r>
      <w:r w:rsidR="00AC05AE" w:rsidRPr="00482A6C">
        <w:t>2021,</w:t>
      </w:r>
      <w:r w:rsidR="006E5713" w:rsidRPr="00482A6C">
        <w:t xml:space="preserve"> and 2020</w:t>
      </w:r>
      <w:r w:rsidRPr="00482A6C">
        <w:t>.</w:t>
      </w:r>
    </w:p>
    <w:bookmarkEnd w:id="43"/>
    <w:p w14:paraId="295C4307" w14:textId="77777777" w:rsidR="00206116" w:rsidRPr="00FF2EC9" w:rsidRDefault="00206116" w:rsidP="00206116">
      <w:pPr>
        <w:keepNext/>
        <w:tabs>
          <w:tab w:val="left" w:pos="720"/>
        </w:tabs>
        <w:autoSpaceDE/>
        <w:autoSpaceDN/>
        <w:adjustRightInd/>
        <w:ind w:left="720" w:right="20"/>
        <w:jc w:val="both"/>
      </w:pPr>
    </w:p>
    <w:p w14:paraId="538420C2" w14:textId="77777777" w:rsidR="00206116" w:rsidRPr="00FF2EC9" w:rsidRDefault="00206116" w:rsidP="00206116">
      <w:pPr>
        <w:keepNext/>
        <w:tabs>
          <w:tab w:val="left" w:pos="720"/>
        </w:tabs>
        <w:autoSpaceDE/>
        <w:autoSpaceDN/>
        <w:adjustRightInd/>
        <w:ind w:left="720" w:right="20"/>
        <w:jc w:val="both"/>
        <w:rPr>
          <w:b/>
          <w:i/>
        </w:rPr>
      </w:pPr>
      <w:r w:rsidRPr="00FF2EC9">
        <w:rPr>
          <w:b/>
          <w:i/>
        </w:rPr>
        <w:t>Income Taxes</w:t>
      </w:r>
    </w:p>
    <w:p w14:paraId="0EE99BAE" w14:textId="77777777" w:rsidR="00206116" w:rsidRPr="00FF2EC9" w:rsidRDefault="00206116" w:rsidP="00206116">
      <w:pPr>
        <w:tabs>
          <w:tab w:val="left" w:pos="720"/>
        </w:tabs>
        <w:autoSpaceDE/>
        <w:autoSpaceDN/>
        <w:adjustRightInd/>
        <w:ind w:left="720"/>
        <w:jc w:val="both"/>
        <w:rPr>
          <w:b/>
          <w:bCs/>
        </w:rPr>
      </w:pPr>
    </w:p>
    <w:p w14:paraId="33061696" w14:textId="74130251" w:rsidR="00206116" w:rsidRPr="00FF2EC9" w:rsidRDefault="00206116" w:rsidP="00206116">
      <w:pPr>
        <w:tabs>
          <w:tab w:val="left" w:pos="720"/>
        </w:tabs>
        <w:autoSpaceDE/>
        <w:autoSpaceDN/>
        <w:adjustRightInd/>
        <w:ind w:left="720" w:right="20"/>
        <w:jc w:val="both"/>
      </w:pPr>
      <w:r w:rsidRPr="00FF2EC9">
        <w:rPr>
          <w:bCs/>
        </w:rPr>
        <w:t>Income taxes are provided for the tax effects of transactions reported in the financial</w:t>
      </w:r>
      <w:r w:rsidRPr="00FF2EC9">
        <w:t xml:space="preserve"> statements. Income taxes consist of taxes currently payable and those deferred due to temporary differences between the financial reporting and tax basis of the Company's assets and liabilities, using tax rates in effect in the period in which the temporary differences are expected to reverse</w:t>
      </w:r>
      <w:r w:rsidR="009158F1" w:rsidRPr="00FF2EC9">
        <w:t xml:space="preserve">. </w:t>
      </w:r>
      <w:r w:rsidRPr="00FF2EC9">
        <w:t>The Company establishes valuation allowances relating to deferred tax assets when management concludes that it is more likely than not that the Company will not realize a benefit from the reversal of such temporary differences</w:t>
      </w:r>
      <w:r w:rsidR="009158F1" w:rsidRPr="00FF2EC9">
        <w:t xml:space="preserve">. </w:t>
      </w:r>
      <w:r w:rsidRPr="00FF2EC9">
        <w:t xml:space="preserve">The Company and </w:t>
      </w:r>
      <w:r w:rsidR="00F739D7">
        <w:t>New Hampshire (“NH”) f</w:t>
      </w:r>
      <w:r w:rsidRPr="00FF2EC9">
        <w:t>ile separate tax returns.</w:t>
      </w:r>
    </w:p>
    <w:p w14:paraId="0B9D5110" w14:textId="77777777" w:rsidR="00206116" w:rsidRPr="00FF2EC9" w:rsidRDefault="00206116" w:rsidP="00206116">
      <w:pPr>
        <w:autoSpaceDE/>
        <w:autoSpaceDN/>
        <w:adjustRightInd/>
        <w:ind w:left="720"/>
        <w:jc w:val="both"/>
        <w:rPr>
          <w:b/>
          <w:bCs/>
          <w:i/>
          <w:iCs/>
        </w:rPr>
      </w:pPr>
    </w:p>
    <w:p w14:paraId="2D3B7AC0" w14:textId="3EA881EA" w:rsidR="00206116" w:rsidRPr="00FF2EC9" w:rsidRDefault="00206116" w:rsidP="00206116">
      <w:pPr>
        <w:autoSpaceDE/>
        <w:autoSpaceDN/>
        <w:adjustRightInd/>
        <w:ind w:left="720"/>
        <w:jc w:val="both"/>
        <w:rPr>
          <w:b/>
          <w:bCs/>
          <w:i/>
          <w:iCs/>
        </w:rPr>
      </w:pPr>
      <w:r w:rsidRPr="00FF2EC9">
        <w:rPr>
          <w:b/>
          <w:bCs/>
          <w:i/>
          <w:iCs/>
        </w:rPr>
        <w:t xml:space="preserve">Accounting for Uncertainty in Income Taxes </w:t>
      </w:r>
    </w:p>
    <w:p w14:paraId="24997FB6" w14:textId="77777777" w:rsidR="002F13CD" w:rsidRDefault="002F13CD" w:rsidP="00206116">
      <w:pPr>
        <w:tabs>
          <w:tab w:val="left" w:pos="720"/>
        </w:tabs>
        <w:autoSpaceDE/>
        <w:autoSpaceDN/>
        <w:adjustRightInd/>
        <w:ind w:left="720" w:right="20"/>
        <w:jc w:val="both"/>
        <w:rPr>
          <w:bCs/>
        </w:rPr>
      </w:pPr>
    </w:p>
    <w:p w14:paraId="188FEBD1" w14:textId="64F20C53" w:rsidR="00206116" w:rsidRPr="00FF2EC9" w:rsidRDefault="00206116" w:rsidP="00206116">
      <w:pPr>
        <w:tabs>
          <w:tab w:val="left" w:pos="720"/>
        </w:tabs>
        <w:autoSpaceDE/>
        <w:autoSpaceDN/>
        <w:adjustRightInd/>
        <w:ind w:left="720" w:right="20"/>
        <w:jc w:val="both"/>
        <w:rPr>
          <w:bCs/>
        </w:rPr>
      </w:pPr>
      <w:r w:rsidRPr="00FF2EC9">
        <w:rPr>
          <w:bCs/>
        </w:rPr>
        <w:t xml:space="preserve">The Company </w:t>
      </w:r>
      <w:r w:rsidRPr="00FF2EC9">
        <w:t>recognizes</w:t>
      </w:r>
      <w:r w:rsidRPr="00FF2EC9">
        <w:rPr>
          <w:bCs/>
        </w:rPr>
        <w:t xml:space="preserve"> the effect of income tax positions only when the tax position is more likely than not to be sustained</w:t>
      </w:r>
      <w:r w:rsidR="00580F82" w:rsidRPr="00FF2EC9">
        <w:rPr>
          <w:bCs/>
        </w:rPr>
        <w:t xml:space="preserve">. </w:t>
      </w:r>
      <w:r w:rsidRPr="00FF2EC9">
        <w:rPr>
          <w:bCs/>
        </w:rPr>
        <w:t>Management is not aware of any exposure to uncertain tax positions that would require financial statement recognition or disclosure</w:t>
      </w:r>
      <w:r w:rsidR="00580F82" w:rsidRPr="00FF2EC9">
        <w:rPr>
          <w:bCs/>
        </w:rPr>
        <w:t xml:space="preserve">. </w:t>
      </w:r>
      <w:r w:rsidRPr="00FF2EC9">
        <w:rPr>
          <w:bCs/>
        </w:rPr>
        <w:t>The Company is no longer subject to federal or state income tax examinations for periods prior to the year ended December 31, 201</w:t>
      </w:r>
      <w:r w:rsidR="00E43525">
        <w:rPr>
          <w:bCs/>
        </w:rPr>
        <w:t>6</w:t>
      </w:r>
      <w:r w:rsidRPr="00FF2EC9">
        <w:rPr>
          <w:bCs/>
        </w:rPr>
        <w:t>.</w:t>
      </w:r>
    </w:p>
    <w:p w14:paraId="64566BD1" w14:textId="77777777" w:rsidR="00206116" w:rsidRPr="00FF2EC9" w:rsidRDefault="00206116" w:rsidP="00206116">
      <w:pPr>
        <w:autoSpaceDE/>
        <w:autoSpaceDN/>
        <w:adjustRightInd/>
        <w:ind w:left="720" w:firstLine="720"/>
        <w:jc w:val="both"/>
        <w:rPr>
          <w:b/>
          <w:bCs/>
          <w:i/>
          <w:iCs/>
        </w:rPr>
      </w:pPr>
    </w:p>
    <w:p w14:paraId="62732849" w14:textId="41B4A7A2" w:rsidR="00206116" w:rsidRPr="00FF2EC9" w:rsidRDefault="00206116" w:rsidP="00206116">
      <w:pPr>
        <w:autoSpaceDE/>
        <w:autoSpaceDN/>
        <w:adjustRightInd/>
        <w:ind w:left="720"/>
        <w:jc w:val="both"/>
        <w:rPr>
          <w:b/>
          <w:bCs/>
          <w:i/>
          <w:iCs/>
        </w:rPr>
      </w:pPr>
      <w:r w:rsidRPr="00FF2EC9">
        <w:rPr>
          <w:b/>
          <w:bCs/>
          <w:i/>
          <w:iCs/>
        </w:rPr>
        <w:t>Revenue Recognition</w:t>
      </w:r>
    </w:p>
    <w:p w14:paraId="76DD5FEB" w14:textId="77777777" w:rsidR="00206116" w:rsidRPr="00FF2EC9" w:rsidRDefault="00206116" w:rsidP="00206116">
      <w:pPr>
        <w:autoSpaceDE/>
        <w:autoSpaceDN/>
        <w:adjustRightInd/>
        <w:ind w:left="720" w:firstLine="720"/>
        <w:jc w:val="both"/>
        <w:rPr>
          <w:b/>
          <w:bCs/>
          <w:i/>
          <w:iCs/>
        </w:rPr>
      </w:pPr>
    </w:p>
    <w:p w14:paraId="25B5ADB0" w14:textId="7D919515" w:rsidR="00206116" w:rsidRDefault="00206116" w:rsidP="00206116">
      <w:pPr>
        <w:autoSpaceDE/>
        <w:autoSpaceDN/>
        <w:adjustRightInd/>
        <w:ind w:left="720"/>
        <w:jc w:val="both"/>
        <w:rPr>
          <w:bCs/>
          <w:iCs/>
        </w:rPr>
      </w:pPr>
      <w:r w:rsidRPr="00FF2EC9">
        <w:rPr>
          <w:bCs/>
          <w:iCs/>
        </w:rPr>
        <w:t xml:space="preserve">Telephone service revenue </w:t>
      </w:r>
      <w:r w:rsidR="00E0442E">
        <w:rPr>
          <w:bCs/>
          <w:iCs/>
        </w:rPr>
        <w:t xml:space="preserve">related to </w:t>
      </w:r>
      <w:r w:rsidR="00F739D7">
        <w:t>New Hampshire (“NH”)</w:t>
      </w:r>
      <w:r w:rsidR="00F739D7">
        <w:rPr>
          <w:bCs/>
          <w:iCs/>
        </w:rPr>
        <w:t xml:space="preserve"> </w:t>
      </w:r>
      <w:r w:rsidR="00E0442E">
        <w:rPr>
          <w:bCs/>
          <w:iCs/>
        </w:rPr>
        <w:t>operations was p</w:t>
      </w:r>
      <w:r w:rsidRPr="00FF2EC9">
        <w:rPr>
          <w:bCs/>
          <w:iCs/>
        </w:rPr>
        <w:t xml:space="preserve">rimarily derived from regulated local, </w:t>
      </w:r>
      <w:r w:rsidR="00F53C7F" w:rsidRPr="00FF2EC9">
        <w:rPr>
          <w:bCs/>
          <w:iCs/>
        </w:rPr>
        <w:t>intrastate,</w:t>
      </w:r>
      <w:r w:rsidRPr="00FF2EC9">
        <w:rPr>
          <w:bCs/>
          <w:iCs/>
        </w:rPr>
        <w:t xml:space="preserve"> and interstate access </w:t>
      </w:r>
      <w:r w:rsidR="00F47AFF">
        <w:rPr>
          <w:bCs/>
          <w:iCs/>
        </w:rPr>
        <w:t xml:space="preserve">and USF </w:t>
      </w:r>
      <w:r w:rsidRPr="00FF2EC9">
        <w:rPr>
          <w:bCs/>
          <w:iCs/>
        </w:rPr>
        <w:t>services and recognized as services are provided.</w:t>
      </w:r>
    </w:p>
    <w:p w14:paraId="123BD07C" w14:textId="1BB9E629" w:rsidR="00F739D7" w:rsidRDefault="00F739D7" w:rsidP="00206116">
      <w:pPr>
        <w:autoSpaceDE/>
        <w:autoSpaceDN/>
        <w:adjustRightInd/>
        <w:ind w:left="720"/>
        <w:jc w:val="both"/>
        <w:rPr>
          <w:bCs/>
          <w:iCs/>
        </w:rPr>
      </w:pPr>
    </w:p>
    <w:p w14:paraId="23451B41" w14:textId="16F7B418" w:rsidR="00F739D7" w:rsidRPr="00BF21D1" w:rsidRDefault="00F739D7" w:rsidP="00F739D7">
      <w:pPr>
        <w:autoSpaceDE/>
        <w:autoSpaceDN/>
        <w:adjustRightInd/>
        <w:ind w:left="720"/>
        <w:jc w:val="both"/>
        <w:rPr>
          <w:bCs/>
          <w:iCs/>
        </w:rPr>
      </w:pPr>
      <w:bookmarkStart w:id="44" w:name="_Hlk75159218"/>
      <w:r w:rsidRPr="00BF21D1">
        <w:rPr>
          <w:bCs/>
          <w:iCs/>
        </w:rPr>
        <w:t>The Compan</w:t>
      </w:r>
      <w:r>
        <w:rPr>
          <w:bCs/>
          <w:iCs/>
        </w:rPr>
        <w:t xml:space="preserve">y’s </w:t>
      </w:r>
      <w:r w:rsidR="00AC05AE">
        <w:rPr>
          <w:bCs/>
          <w:iCs/>
        </w:rPr>
        <w:t>adopted</w:t>
      </w:r>
      <w:r w:rsidR="00F41A7A">
        <w:rPr>
          <w:bCs/>
          <w:iCs/>
        </w:rPr>
        <w:t xml:space="preserve"> </w:t>
      </w:r>
      <w:r w:rsidRPr="00BF21D1">
        <w:rPr>
          <w:bCs/>
          <w:iCs/>
        </w:rPr>
        <w:t>ASCs (ASC 606) on a modified retrospective basis for its contracts with customers that had not been completed as of January 1, 2018. The Company's customer contracts include performance obligations that are satisfied as products are delivered at a point in time or over time. Under the new standard, recognizing revenue for these performance obligations is consistent with the Company's current practice of recognizing revenue.</w:t>
      </w:r>
    </w:p>
    <w:bookmarkEnd w:id="44"/>
    <w:p w14:paraId="2D336208" w14:textId="77777777" w:rsidR="00F739D7" w:rsidRPr="00BF21D1" w:rsidRDefault="00F739D7" w:rsidP="00F739D7">
      <w:pPr>
        <w:autoSpaceDE/>
        <w:autoSpaceDN/>
        <w:adjustRightInd/>
        <w:ind w:left="720"/>
        <w:jc w:val="both"/>
        <w:rPr>
          <w:bCs/>
          <w:iCs/>
        </w:rPr>
      </w:pPr>
    </w:p>
    <w:p w14:paraId="45D50165" w14:textId="0FECF976" w:rsidR="00206116" w:rsidRPr="00FF2EC9" w:rsidRDefault="00F739D7" w:rsidP="002F13CD">
      <w:pPr>
        <w:autoSpaceDE/>
        <w:autoSpaceDN/>
        <w:adjustRightInd/>
        <w:ind w:left="720"/>
        <w:jc w:val="both"/>
        <w:rPr>
          <w:bCs/>
          <w:iCs/>
        </w:rPr>
      </w:pPr>
      <w:r w:rsidRPr="00BF21D1">
        <w:rPr>
          <w:bCs/>
          <w:iCs/>
        </w:rPr>
        <w:t>At contract inception, the Company assesses the goods and services to be provided to the customer and identifies the associated performance obligation. The Company considers all obligations, whether they are explicitly stated in the contract or are implied by customary business practices.</w:t>
      </w:r>
      <w:r w:rsidR="002F13CD">
        <w:rPr>
          <w:bCs/>
          <w:iCs/>
        </w:rPr>
        <w:t xml:space="preserve"> </w:t>
      </w:r>
    </w:p>
    <w:p w14:paraId="509C998A" w14:textId="77777777" w:rsidR="007362EB" w:rsidRDefault="007362EB" w:rsidP="00206116">
      <w:pPr>
        <w:autoSpaceDE/>
        <w:autoSpaceDN/>
        <w:adjustRightInd/>
        <w:ind w:left="720"/>
        <w:jc w:val="both"/>
        <w:rPr>
          <w:b/>
          <w:bCs/>
          <w:i/>
          <w:iCs/>
        </w:rPr>
      </w:pPr>
    </w:p>
    <w:p w14:paraId="6C64F0E7" w14:textId="777AD130" w:rsidR="00F739D7" w:rsidRDefault="00F739D7" w:rsidP="00206116">
      <w:pPr>
        <w:autoSpaceDE/>
        <w:autoSpaceDN/>
        <w:adjustRightInd/>
        <w:ind w:left="720"/>
        <w:jc w:val="both"/>
      </w:pPr>
    </w:p>
    <w:p w14:paraId="4D0C4FF2" w14:textId="77777777" w:rsidR="009F5340" w:rsidRDefault="009F5340" w:rsidP="00F739D7">
      <w:pPr>
        <w:autoSpaceDE/>
        <w:autoSpaceDN/>
        <w:adjustRightInd/>
        <w:ind w:left="720"/>
        <w:jc w:val="both"/>
        <w:rPr>
          <w:b/>
          <w:bCs/>
          <w:i/>
          <w:iCs/>
        </w:rPr>
      </w:pPr>
    </w:p>
    <w:p w14:paraId="4BD39337" w14:textId="77777777" w:rsidR="009F5340" w:rsidRDefault="009F5340" w:rsidP="00F739D7">
      <w:pPr>
        <w:autoSpaceDE/>
        <w:autoSpaceDN/>
        <w:adjustRightInd/>
        <w:ind w:left="720"/>
        <w:jc w:val="both"/>
        <w:rPr>
          <w:b/>
          <w:bCs/>
          <w:i/>
          <w:iCs/>
        </w:rPr>
      </w:pPr>
    </w:p>
    <w:p w14:paraId="7FC4EEDA" w14:textId="77777777" w:rsidR="009F5340" w:rsidRDefault="009F5340" w:rsidP="00F739D7">
      <w:pPr>
        <w:autoSpaceDE/>
        <w:autoSpaceDN/>
        <w:adjustRightInd/>
        <w:ind w:left="720"/>
        <w:jc w:val="both"/>
        <w:rPr>
          <w:b/>
          <w:bCs/>
          <w:i/>
          <w:iCs/>
        </w:rPr>
      </w:pPr>
    </w:p>
    <w:p w14:paraId="14E90EB8" w14:textId="476BB0DA" w:rsidR="009338A3" w:rsidRDefault="009338A3" w:rsidP="007362EB">
      <w:pPr>
        <w:keepNext/>
        <w:autoSpaceDE/>
        <w:autoSpaceDN/>
        <w:adjustRightInd/>
        <w:ind w:left="720"/>
        <w:jc w:val="both"/>
        <w:outlineLvl w:val="1"/>
        <w:rPr>
          <w:b/>
          <w:bCs/>
        </w:rPr>
      </w:pPr>
    </w:p>
    <w:p w14:paraId="260EE0A3" w14:textId="75A65A16" w:rsidR="00206116" w:rsidRPr="00FF2EC9" w:rsidRDefault="000E730B" w:rsidP="000E730B">
      <w:pPr>
        <w:keepNext/>
        <w:autoSpaceDE/>
        <w:autoSpaceDN/>
        <w:adjustRightInd/>
        <w:jc w:val="both"/>
        <w:rPr>
          <w:b/>
          <w:bCs/>
        </w:rPr>
      </w:pPr>
      <w:r w:rsidRPr="00FF2EC9">
        <w:rPr>
          <w:b/>
          <w:bCs/>
        </w:rPr>
        <w:t xml:space="preserve">     </w:t>
      </w:r>
      <w:r w:rsidR="00F47AFF">
        <w:rPr>
          <w:b/>
          <w:bCs/>
        </w:rPr>
        <w:t>3</w:t>
      </w:r>
      <w:r w:rsidR="00206116" w:rsidRPr="00FF2EC9">
        <w:rPr>
          <w:b/>
          <w:bCs/>
        </w:rPr>
        <w:t>.</w:t>
      </w:r>
      <w:r w:rsidR="008B2B28">
        <w:rPr>
          <w:b/>
          <w:bCs/>
        </w:rPr>
        <w:tab/>
      </w:r>
      <w:r w:rsidR="00206116" w:rsidRPr="00FF2EC9">
        <w:rPr>
          <w:b/>
          <w:bCs/>
        </w:rPr>
        <w:t>Treasury Stock</w:t>
      </w:r>
    </w:p>
    <w:p w14:paraId="23CC8976" w14:textId="77777777" w:rsidR="00206116" w:rsidRPr="00FF2EC9" w:rsidRDefault="00206116" w:rsidP="00206116">
      <w:pPr>
        <w:tabs>
          <w:tab w:val="left" w:pos="720"/>
        </w:tabs>
        <w:autoSpaceDE/>
        <w:autoSpaceDN/>
        <w:adjustRightInd/>
        <w:ind w:left="720"/>
        <w:jc w:val="both"/>
      </w:pPr>
    </w:p>
    <w:p w14:paraId="78C228D7" w14:textId="21EA1D7D" w:rsidR="00206116" w:rsidRPr="00FF2EC9" w:rsidRDefault="00206116" w:rsidP="00206116">
      <w:pPr>
        <w:tabs>
          <w:tab w:val="left" w:pos="720"/>
        </w:tabs>
        <w:autoSpaceDE/>
        <w:autoSpaceDN/>
        <w:adjustRightInd/>
        <w:ind w:left="720"/>
        <w:jc w:val="both"/>
      </w:pPr>
      <w:r w:rsidRPr="00FF2EC9">
        <w:t>Since it was spun-off from LICT Corporation on November 19, 200</w:t>
      </w:r>
      <w:r w:rsidR="006153C1" w:rsidRPr="00FF2EC9">
        <w:t>7</w:t>
      </w:r>
      <w:r w:rsidRPr="00FF2EC9">
        <w:t xml:space="preserve">, CIBL’s Board of Directors has increased its authorized share repurchase program up to a </w:t>
      </w:r>
      <w:r w:rsidRPr="00AF0CB0">
        <w:t xml:space="preserve">cumulative </w:t>
      </w:r>
      <w:r w:rsidR="00F535E4" w:rsidRPr="00AF0CB0">
        <w:t>7</w:t>
      </w:r>
      <w:r w:rsidRPr="00AF0CB0">
        <w:t>,</w:t>
      </w:r>
      <w:r w:rsidR="00F53C7F">
        <w:t>824</w:t>
      </w:r>
      <w:r w:rsidRPr="00F535E4">
        <w:t xml:space="preserve"> shares of common stock. </w:t>
      </w:r>
      <w:r w:rsidR="00EF3C5B" w:rsidRPr="00F535E4">
        <w:t>During</w:t>
      </w:r>
      <w:r w:rsidR="00FD08E1" w:rsidRPr="00F535E4">
        <w:t xml:space="preserve"> the </w:t>
      </w:r>
      <w:r w:rsidR="00482A6C" w:rsidRPr="00F535E4">
        <w:t xml:space="preserve">first </w:t>
      </w:r>
      <w:r w:rsidR="00255DE6" w:rsidRPr="00F535E4">
        <w:t>nine</w:t>
      </w:r>
      <w:r w:rsidR="00482A6C" w:rsidRPr="00F535E4">
        <w:t xml:space="preserve"> months of </w:t>
      </w:r>
      <w:r w:rsidR="00EF3C5B" w:rsidRPr="00F535E4">
        <w:t>202</w:t>
      </w:r>
      <w:r w:rsidR="00427D9E" w:rsidRPr="00F535E4">
        <w:t>1</w:t>
      </w:r>
      <w:r w:rsidR="00EF3C5B" w:rsidRPr="00F535E4">
        <w:t xml:space="preserve"> CIBL purchased </w:t>
      </w:r>
      <w:r w:rsidR="000D11A0" w:rsidRPr="00F535E4">
        <w:t>1,035</w:t>
      </w:r>
      <w:r w:rsidR="00482A6C" w:rsidRPr="00F535E4">
        <w:t xml:space="preserve"> </w:t>
      </w:r>
      <w:r w:rsidRPr="00F535E4">
        <w:t>shares at an average price of $1,</w:t>
      </w:r>
      <w:r w:rsidR="00F535E4" w:rsidRPr="00F535E4">
        <w:t xml:space="preserve">779 </w:t>
      </w:r>
      <w:r w:rsidRPr="00F535E4">
        <w:t>per share.</w:t>
      </w:r>
    </w:p>
    <w:p w14:paraId="4BA5AA0E" w14:textId="77777777" w:rsidR="00206116" w:rsidRPr="00FF2EC9" w:rsidRDefault="00206116" w:rsidP="00206116">
      <w:pPr>
        <w:tabs>
          <w:tab w:val="left" w:pos="720"/>
        </w:tabs>
        <w:autoSpaceDE/>
        <w:autoSpaceDN/>
        <w:adjustRightInd/>
        <w:ind w:left="720"/>
        <w:jc w:val="both"/>
      </w:pPr>
    </w:p>
    <w:p w14:paraId="2D79AEEF" w14:textId="20672D2F" w:rsidR="00206116" w:rsidRPr="00FF2EC9" w:rsidRDefault="00206116" w:rsidP="00206116">
      <w:pPr>
        <w:tabs>
          <w:tab w:val="left" w:pos="720"/>
        </w:tabs>
        <w:autoSpaceDE/>
        <w:autoSpaceDN/>
        <w:adjustRightInd/>
        <w:ind w:left="720"/>
        <w:jc w:val="both"/>
      </w:pPr>
      <w:r w:rsidRPr="009F6896">
        <w:t xml:space="preserve">In addition to its </w:t>
      </w:r>
      <w:r w:rsidR="00580F82" w:rsidRPr="009F6896">
        <w:t>open market</w:t>
      </w:r>
      <w:r w:rsidRPr="009F6896">
        <w:t xml:space="preserve"> repurchase programs, the Company has conducted two tender offers for its shares, purchasing a total of 4,746 shares at an average price of $1,100 per share.</w:t>
      </w:r>
    </w:p>
    <w:p w14:paraId="3038C41E" w14:textId="77777777" w:rsidR="00206116" w:rsidRPr="00FF2EC9" w:rsidRDefault="00206116" w:rsidP="00206116">
      <w:pPr>
        <w:tabs>
          <w:tab w:val="left" w:pos="720"/>
        </w:tabs>
        <w:autoSpaceDE/>
        <w:autoSpaceDN/>
        <w:adjustRightInd/>
        <w:ind w:left="720"/>
        <w:jc w:val="both"/>
      </w:pPr>
    </w:p>
    <w:p w14:paraId="433931AB" w14:textId="2F346E7C" w:rsidR="002748D3" w:rsidRPr="00BD2853" w:rsidRDefault="00F47AFF" w:rsidP="00206116">
      <w:pPr>
        <w:keepNext/>
        <w:autoSpaceDE/>
        <w:autoSpaceDN/>
        <w:adjustRightInd/>
        <w:ind w:left="360"/>
        <w:jc w:val="both"/>
        <w:rPr>
          <w:b/>
          <w:bCs/>
        </w:rPr>
      </w:pPr>
      <w:r>
        <w:rPr>
          <w:b/>
          <w:bCs/>
        </w:rPr>
        <w:t>4</w:t>
      </w:r>
      <w:r w:rsidR="00206116" w:rsidRPr="00FF2EC9">
        <w:rPr>
          <w:b/>
          <w:bCs/>
        </w:rPr>
        <w:t xml:space="preserve">. </w:t>
      </w:r>
      <w:r w:rsidR="00206116" w:rsidRPr="00BD2853">
        <w:rPr>
          <w:b/>
          <w:bCs/>
        </w:rPr>
        <w:t>Provision for Income Taxes</w:t>
      </w:r>
    </w:p>
    <w:p w14:paraId="04334AEF" w14:textId="77777777" w:rsidR="002748D3" w:rsidRPr="00BD2853" w:rsidRDefault="002748D3" w:rsidP="00206116">
      <w:pPr>
        <w:keepNext/>
        <w:autoSpaceDE/>
        <w:autoSpaceDN/>
        <w:adjustRightInd/>
        <w:ind w:left="360"/>
        <w:jc w:val="both"/>
        <w:rPr>
          <w:b/>
          <w:bCs/>
        </w:rPr>
      </w:pPr>
    </w:p>
    <w:p w14:paraId="3ECE762F" w14:textId="3C1AFDD9" w:rsidR="00206116" w:rsidRDefault="00206116" w:rsidP="00206116">
      <w:pPr>
        <w:tabs>
          <w:tab w:val="left" w:pos="720"/>
        </w:tabs>
        <w:autoSpaceDE/>
        <w:autoSpaceDN/>
        <w:adjustRightInd/>
        <w:ind w:left="720"/>
        <w:jc w:val="both"/>
      </w:pPr>
      <w:r w:rsidRPr="00BD2853">
        <w:t xml:space="preserve">The provision (benefit) for income taxes </w:t>
      </w:r>
      <w:r w:rsidR="00FD5449" w:rsidRPr="00BD2853">
        <w:t xml:space="preserve">from continuing operations </w:t>
      </w:r>
      <w:r w:rsidRPr="00BD2853">
        <w:t>for the</w:t>
      </w:r>
      <w:r w:rsidR="00EA1170" w:rsidRPr="00BD2853">
        <w:t xml:space="preserve"> </w:t>
      </w:r>
      <w:r w:rsidR="00581AFB">
        <w:t>t</w:t>
      </w:r>
      <w:r w:rsidR="00EA1170" w:rsidRPr="00BD2853">
        <w:t>hree</w:t>
      </w:r>
      <w:r w:rsidR="00A32C87">
        <w:t xml:space="preserve"> </w:t>
      </w:r>
      <w:r w:rsidR="00331630">
        <w:t xml:space="preserve">and six </w:t>
      </w:r>
      <w:r w:rsidR="00581AFB">
        <w:t>m</w:t>
      </w:r>
      <w:r w:rsidR="00EA1170" w:rsidRPr="00BD2853">
        <w:t xml:space="preserve">onths </w:t>
      </w:r>
      <w:r w:rsidR="00581AFB">
        <w:t>e</w:t>
      </w:r>
      <w:r w:rsidRPr="00BD2853">
        <w:t xml:space="preserve">nded </w:t>
      </w:r>
      <w:r w:rsidR="00255DE6">
        <w:t>September</w:t>
      </w:r>
      <w:r w:rsidR="00904ADB">
        <w:t xml:space="preserve"> 3</w:t>
      </w:r>
      <w:r w:rsidR="00DF0A4D">
        <w:t>0</w:t>
      </w:r>
      <w:r w:rsidR="00AF4271" w:rsidRPr="00BD2853">
        <w:t xml:space="preserve">, </w:t>
      </w:r>
      <w:r w:rsidR="009F5340" w:rsidRPr="00BD2853">
        <w:t>202</w:t>
      </w:r>
      <w:r w:rsidR="00CE74B6">
        <w:t>1, and 2020</w:t>
      </w:r>
      <w:r w:rsidR="00904ADB">
        <w:t xml:space="preserve"> </w:t>
      </w:r>
      <w:r w:rsidRPr="00BD2853">
        <w:t>are summarized as follows:</w:t>
      </w:r>
    </w:p>
    <w:p w14:paraId="62F7D57F" w14:textId="58C64DC4" w:rsidR="00C43947" w:rsidRDefault="00C43947" w:rsidP="00206116">
      <w:pPr>
        <w:tabs>
          <w:tab w:val="left" w:pos="720"/>
        </w:tabs>
        <w:autoSpaceDE/>
        <w:autoSpaceDN/>
        <w:adjustRightInd/>
        <w:ind w:left="720"/>
        <w:jc w:val="both"/>
      </w:pPr>
    </w:p>
    <w:tbl>
      <w:tblPr>
        <w:tblW w:w="0" w:type="auto"/>
        <w:tblInd w:w="720" w:type="dxa"/>
        <w:tblLook w:val="04A0" w:firstRow="1" w:lastRow="0" w:firstColumn="1" w:lastColumn="0" w:noHBand="0" w:noVBand="1"/>
      </w:tblPr>
      <w:tblGrid>
        <w:gridCol w:w="2429"/>
        <w:gridCol w:w="1152"/>
        <w:gridCol w:w="222"/>
        <w:gridCol w:w="1152"/>
        <w:gridCol w:w="267"/>
        <w:gridCol w:w="1152"/>
        <w:gridCol w:w="288"/>
        <w:gridCol w:w="1152"/>
      </w:tblGrid>
      <w:tr w:rsidR="00C43947" w:rsidRPr="00581AFB" w14:paraId="2D28C8E7" w14:textId="77777777" w:rsidTr="00C43A95">
        <w:trPr>
          <w:trHeight w:val="216"/>
        </w:trPr>
        <w:tc>
          <w:tcPr>
            <w:tcW w:w="2429" w:type="dxa"/>
          </w:tcPr>
          <w:p w14:paraId="4B13456B" w14:textId="77777777" w:rsidR="00C43947" w:rsidRPr="00581AFB" w:rsidRDefault="00C43947" w:rsidP="00C43A95">
            <w:pPr>
              <w:tabs>
                <w:tab w:val="left" w:pos="720"/>
              </w:tabs>
              <w:autoSpaceDE/>
              <w:autoSpaceDN/>
              <w:adjustRightInd/>
              <w:ind w:left="720"/>
              <w:jc w:val="both"/>
            </w:pPr>
          </w:p>
        </w:tc>
        <w:tc>
          <w:tcPr>
            <w:tcW w:w="2526" w:type="dxa"/>
            <w:gridSpan w:val="3"/>
            <w:tcBorders>
              <w:bottom w:val="single" w:sz="4" w:space="0" w:color="auto"/>
            </w:tcBorders>
          </w:tcPr>
          <w:p w14:paraId="3D5AF7AF" w14:textId="77777777" w:rsidR="00C43947" w:rsidRPr="00581AFB" w:rsidRDefault="00C43947" w:rsidP="00C43A95">
            <w:pPr>
              <w:tabs>
                <w:tab w:val="left" w:pos="720"/>
              </w:tabs>
              <w:autoSpaceDE/>
              <w:autoSpaceDN/>
              <w:adjustRightInd/>
              <w:jc w:val="center"/>
            </w:pPr>
            <w:r w:rsidRPr="00581AFB">
              <w:t>Three Months</w:t>
            </w:r>
          </w:p>
        </w:tc>
        <w:tc>
          <w:tcPr>
            <w:tcW w:w="267" w:type="dxa"/>
          </w:tcPr>
          <w:p w14:paraId="65DCB7EF" w14:textId="77777777" w:rsidR="00C43947" w:rsidRPr="00581AFB" w:rsidRDefault="00C43947" w:rsidP="00C43A95">
            <w:pPr>
              <w:tabs>
                <w:tab w:val="left" w:pos="720"/>
              </w:tabs>
              <w:autoSpaceDE/>
              <w:autoSpaceDN/>
              <w:adjustRightInd/>
              <w:jc w:val="center"/>
            </w:pPr>
          </w:p>
        </w:tc>
        <w:tc>
          <w:tcPr>
            <w:tcW w:w="2592" w:type="dxa"/>
            <w:gridSpan w:val="3"/>
            <w:tcBorders>
              <w:bottom w:val="single" w:sz="4" w:space="0" w:color="auto"/>
            </w:tcBorders>
          </w:tcPr>
          <w:p w14:paraId="5F8930FA" w14:textId="737977BC" w:rsidR="00C43947" w:rsidRPr="00581AFB" w:rsidRDefault="00255DE6" w:rsidP="00C43A95">
            <w:pPr>
              <w:tabs>
                <w:tab w:val="left" w:pos="720"/>
              </w:tabs>
              <w:autoSpaceDE/>
              <w:autoSpaceDN/>
              <w:adjustRightInd/>
              <w:jc w:val="center"/>
            </w:pPr>
            <w:r>
              <w:t>Nine</w:t>
            </w:r>
            <w:r w:rsidR="00C43947" w:rsidRPr="00581AFB">
              <w:t xml:space="preserve"> Months</w:t>
            </w:r>
          </w:p>
        </w:tc>
      </w:tr>
      <w:tr w:rsidR="00C43947" w:rsidRPr="00581AFB" w14:paraId="3CDD9B7E" w14:textId="77777777" w:rsidTr="00C43A95">
        <w:trPr>
          <w:trHeight w:val="216"/>
        </w:trPr>
        <w:tc>
          <w:tcPr>
            <w:tcW w:w="2429" w:type="dxa"/>
          </w:tcPr>
          <w:p w14:paraId="10B016D8" w14:textId="77777777" w:rsidR="00C43947" w:rsidRPr="00581AFB" w:rsidRDefault="00C43947" w:rsidP="00C43A95">
            <w:pPr>
              <w:tabs>
                <w:tab w:val="left" w:pos="720"/>
              </w:tabs>
              <w:autoSpaceDE/>
              <w:autoSpaceDN/>
              <w:adjustRightInd/>
              <w:ind w:left="720"/>
              <w:jc w:val="both"/>
            </w:pPr>
          </w:p>
        </w:tc>
        <w:tc>
          <w:tcPr>
            <w:tcW w:w="1152" w:type="dxa"/>
            <w:tcBorders>
              <w:bottom w:val="single" w:sz="4" w:space="0" w:color="auto"/>
            </w:tcBorders>
          </w:tcPr>
          <w:p w14:paraId="4E69168A" w14:textId="705F7240" w:rsidR="00C43947" w:rsidRPr="00581AFB" w:rsidRDefault="00C43947" w:rsidP="00C43A95">
            <w:pPr>
              <w:tabs>
                <w:tab w:val="left" w:pos="720"/>
              </w:tabs>
              <w:autoSpaceDE/>
              <w:autoSpaceDN/>
              <w:adjustRightInd/>
              <w:jc w:val="center"/>
            </w:pPr>
            <w:r w:rsidRPr="00581AFB">
              <w:t>20</w:t>
            </w:r>
            <w:r>
              <w:t>21</w:t>
            </w:r>
          </w:p>
        </w:tc>
        <w:tc>
          <w:tcPr>
            <w:tcW w:w="222" w:type="dxa"/>
          </w:tcPr>
          <w:p w14:paraId="30927D35" w14:textId="77777777" w:rsidR="00C43947" w:rsidRPr="00581AFB" w:rsidRDefault="00C43947" w:rsidP="00C43A95">
            <w:pPr>
              <w:tabs>
                <w:tab w:val="left" w:pos="720"/>
              </w:tabs>
              <w:autoSpaceDE/>
              <w:autoSpaceDN/>
              <w:adjustRightInd/>
              <w:jc w:val="center"/>
            </w:pPr>
          </w:p>
        </w:tc>
        <w:tc>
          <w:tcPr>
            <w:tcW w:w="1152" w:type="dxa"/>
            <w:tcBorders>
              <w:bottom w:val="single" w:sz="4" w:space="0" w:color="auto"/>
            </w:tcBorders>
          </w:tcPr>
          <w:p w14:paraId="7EDA2242" w14:textId="7AC8F8AB" w:rsidR="00C43947" w:rsidRPr="00581AFB" w:rsidRDefault="00C43947" w:rsidP="00C43A95">
            <w:pPr>
              <w:tabs>
                <w:tab w:val="left" w:pos="720"/>
              </w:tabs>
              <w:autoSpaceDE/>
              <w:autoSpaceDN/>
              <w:adjustRightInd/>
              <w:jc w:val="center"/>
            </w:pPr>
            <w:r w:rsidRPr="00581AFB">
              <w:t>20</w:t>
            </w:r>
            <w:r>
              <w:t>20</w:t>
            </w:r>
          </w:p>
        </w:tc>
        <w:tc>
          <w:tcPr>
            <w:tcW w:w="267" w:type="dxa"/>
          </w:tcPr>
          <w:p w14:paraId="11612D2C" w14:textId="77777777" w:rsidR="00C43947" w:rsidRPr="00581AFB" w:rsidRDefault="00C43947" w:rsidP="00C43A95">
            <w:pPr>
              <w:tabs>
                <w:tab w:val="left" w:pos="720"/>
              </w:tabs>
              <w:autoSpaceDE/>
              <w:autoSpaceDN/>
              <w:adjustRightInd/>
              <w:jc w:val="center"/>
            </w:pPr>
          </w:p>
        </w:tc>
        <w:tc>
          <w:tcPr>
            <w:tcW w:w="1152" w:type="dxa"/>
            <w:tcBorders>
              <w:bottom w:val="single" w:sz="4" w:space="0" w:color="auto"/>
            </w:tcBorders>
          </w:tcPr>
          <w:p w14:paraId="580EB9BD" w14:textId="02A47B40" w:rsidR="00C43947" w:rsidRPr="00581AFB" w:rsidRDefault="00C43947" w:rsidP="00C43A95">
            <w:pPr>
              <w:tabs>
                <w:tab w:val="left" w:pos="720"/>
              </w:tabs>
              <w:autoSpaceDE/>
              <w:autoSpaceDN/>
              <w:adjustRightInd/>
              <w:jc w:val="center"/>
            </w:pPr>
            <w:r w:rsidRPr="00581AFB">
              <w:t>20</w:t>
            </w:r>
            <w:r>
              <w:t>21</w:t>
            </w:r>
          </w:p>
        </w:tc>
        <w:tc>
          <w:tcPr>
            <w:tcW w:w="288" w:type="dxa"/>
          </w:tcPr>
          <w:p w14:paraId="47F86FCF" w14:textId="77777777" w:rsidR="00C43947" w:rsidRPr="00581AFB" w:rsidRDefault="00C43947" w:rsidP="00C43A95">
            <w:pPr>
              <w:tabs>
                <w:tab w:val="left" w:pos="720"/>
              </w:tabs>
              <w:autoSpaceDE/>
              <w:autoSpaceDN/>
              <w:adjustRightInd/>
              <w:jc w:val="center"/>
            </w:pPr>
          </w:p>
        </w:tc>
        <w:tc>
          <w:tcPr>
            <w:tcW w:w="1152" w:type="dxa"/>
            <w:tcBorders>
              <w:bottom w:val="single" w:sz="4" w:space="0" w:color="auto"/>
            </w:tcBorders>
          </w:tcPr>
          <w:p w14:paraId="20E64479" w14:textId="6F73262B" w:rsidR="00C43947" w:rsidRPr="00581AFB" w:rsidRDefault="00C43947" w:rsidP="00C43A95">
            <w:pPr>
              <w:tabs>
                <w:tab w:val="left" w:pos="720"/>
              </w:tabs>
              <w:autoSpaceDE/>
              <w:autoSpaceDN/>
              <w:adjustRightInd/>
              <w:jc w:val="center"/>
            </w:pPr>
            <w:r w:rsidRPr="00581AFB">
              <w:t>20</w:t>
            </w:r>
            <w:r>
              <w:t>20</w:t>
            </w:r>
          </w:p>
        </w:tc>
      </w:tr>
      <w:tr w:rsidR="00C43947" w:rsidRPr="00581AFB" w14:paraId="672126A6" w14:textId="77777777" w:rsidTr="00C43A95">
        <w:tc>
          <w:tcPr>
            <w:tcW w:w="2429" w:type="dxa"/>
          </w:tcPr>
          <w:p w14:paraId="1CA2F9D5" w14:textId="77777777" w:rsidR="00C43947" w:rsidRPr="00581AFB" w:rsidRDefault="00C43947" w:rsidP="00C43A95">
            <w:pPr>
              <w:tabs>
                <w:tab w:val="left" w:pos="720"/>
              </w:tabs>
              <w:autoSpaceDE/>
              <w:autoSpaceDN/>
              <w:adjustRightInd/>
              <w:ind w:left="144"/>
            </w:pPr>
            <w:r w:rsidRPr="00581AFB">
              <w:t>Current tax provision (benefit):</w:t>
            </w:r>
          </w:p>
        </w:tc>
        <w:tc>
          <w:tcPr>
            <w:tcW w:w="1152" w:type="dxa"/>
            <w:tcBorders>
              <w:top w:val="single" w:sz="4" w:space="0" w:color="auto"/>
            </w:tcBorders>
          </w:tcPr>
          <w:p w14:paraId="335717AD" w14:textId="77777777" w:rsidR="00C43947" w:rsidRPr="00581AFB" w:rsidRDefault="00C43947" w:rsidP="00C43A95">
            <w:pPr>
              <w:tabs>
                <w:tab w:val="left" w:pos="720"/>
              </w:tabs>
              <w:autoSpaceDE/>
              <w:autoSpaceDN/>
              <w:adjustRightInd/>
              <w:jc w:val="both"/>
            </w:pPr>
          </w:p>
        </w:tc>
        <w:tc>
          <w:tcPr>
            <w:tcW w:w="222" w:type="dxa"/>
          </w:tcPr>
          <w:p w14:paraId="2F3423A3" w14:textId="77777777" w:rsidR="00C43947" w:rsidRPr="00581AFB" w:rsidRDefault="00C43947" w:rsidP="00C43A95">
            <w:pPr>
              <w:tabs>
                <w:tab w:val="left" w:pos="720"/>
              </w:tabs>
              <w:autoSpaceDE/>
              <w:autoSpaceDN/>
              <w:adjustRightInd/>
              <w:jc w:val="both"/>
            </w:pPr>
          </w:p>
        </w:tc>
        <w:tc>
          <w:tcPr>
            <w:tcW w:w="1152" w:type="dxa"/>
            <w:tcBorders>
              <w:top w:val="single" w:sz="4" w:space="0" w:color="auto"/>
            </w:tcBorders>
          </w:tcPr>
          <w:p w14:paraId="7E47EB3E" w14:textId="77777777" w:rsidR="00C43947" w:rsidRPr="00581AFB" w:rsidRDefault="00C43947" w:rsidP="00C43A95">
            <w:pPr>
              <w:tabs>
                <w:tab w:val="left" w:pos="720"/>
              </w:tabs>
              <w:autoSpaceDE/>
              <w:autoSpaceDN/>
              <w:adjustRightInd/>
              <w:jc w:val="center"/>
            </w:pPr>
          </w:p>
        </w:tc>
        <w:tc>
          <w:tcPr>
            <w:tcW w:w="267" w:type="dxa"/>
          </w:tcPr>
          <w:p w14:paraId="2818B138" w14:textId="77777777" w:rsidR="00C43947" w:rsidRPr="00581AFB" w:rsidRDefault="00C43947" w:rsidP="00C43A95">
            <w:pPr>
              <w:tabs>
                <w:tab w:val="left" w:pos="720"/>
              </w:tabs>
              <w:autoSpaceDE/>
              <w:autoSpaceDN/>
              <w:adjustRightInd/>
              <w:jc w:val="center"/>
            </w:pPr>
          </w:p>
        </w:tc>
        <w:tc>
          <w:tcPr>
            <w:tcW w:w="1152" w:type="dxa"/>
            <w:tcBorders>
              <w:top w:val="single" w:sz="4" w:space="0" w:color="auto"/>
            </w:tcBorders>
          </w:tcPr>
          <w:p w14:paraId="56538962" w14:textId="77777777" w:rsidR="00C43947" w:rsidRPr="00581AFB" w:rsidRDefault="00C43947" w:rsidP="00C43A95">
            <w:pPr>
              <w:tabs>
                <w:tab w:val="left" w:pos="720"/>
              </w:tabs>
              <w:autoSpaceDE/>
              <w:autoSpaceDN/>
              <w:adjustRightInd/>
              <w:jc w:val="both"/>
            </w:pPr>
          </w:p>
        </w:tc>
        <w:tc>
          <w:tcPr>
            <w:tcW w:w="288" w:type="dxa"/>
          </w:tcPr>
          <w:p w14:paraId="5DCA5ED9" w14:textId="77777777" w:rsidR="00C43947" w:rsidRPr="00581AFB" w:rsidRDefault="00C43947" w:rsidP="00C43A95">
            <w:pPr>
              <w:tabs>
                <w:tab w:val="left" w:pos="720"/>
              </w:tabs>
              <w:autoSpaceDE/>
              <w:autoSpaceDN/>
              <w:adjustRightInd/>
              <w:jc w:val="both"/>
            </w:pPr>
          </w:p>
        </w:tc>
        <w:tc>
          <w:tcPr>
            <w:tcW w:w="1152" w:type="dxa"/>
            <w:tcBorders>
              <w:top w:val="single" w:sz="4" w:space="0" w:color="auto"/>
            </w:tcBorders>
          </w:tcPr>
          <w:p w14:paraId="37A59A67" w14:textId="77777777" w:rsidR="00C43947" w:rsidRPr="00581AFB" w:rsidRDefault="00C43947" w:rsidP="00C43A95">
            <w:pPr>
              <w:tabs>
                <w:tab w:val="left" w:pos="720"/>
              </w:tabs>
              <w:autoSpaceDE/>
              <w:autoSpaceDN/>
              <w:adjustRightInd/>
              <w:jc w:val="both"/>
            </w:pPr>
          </w:p>
        </w:tc>
      </w:tr>
      <w:tr w:rsidR="00C43947" w:rsidRPr="00581AFB" w14:paraId="64ED2D58" w14:textId="77777777" w:rsidTr="00F71D68">
        <w:tc>
          <w:tcPr>
            <w:tcW w:w="2429" w:type="dxa"/>
          </w:tcPr>
          <w:p w14:paraId="7DD4A836" w14:textId="77777777" w:rsidR="00C43947" w:rsidRPr="00581AFB" w:rsidRDefault="00C43947" w:rsidP="00C43A95">
            <w:pPr>
              <w:tabs>
                <w:tab w:val="left" w:pos="720"/>
              </w:tabs>
              <w:autoSpaceDE/>
              <w:autoSpaceDN/>
              <w:adjustRightInd/>
              <w:ind w:left="288"/>
              <w:jc w:val="both"/>
            </w:pPr>
            <w:r w:rsidRPr="00581AFB">
              <w:t xml:space="preserve">  Federal  </w:t>
            </w:r>
          </w:p>
        </w:tc>
        <w:tc>
          <w:tcPr>
            <w:tcW w:w="1152" w:type="dxa"/>
          </w:tcPr>
          <w:p w14:paraId="62460DC3" w14:textId="792997A3" w:rsidR="00C43947" w:rsidRPr="008C5BCD" w:rsidRDefault="00C43947" w:rsidP="00C43A95">
            <w:pPr>
              <w:tabs>
                <w:tab w:val="left" w:pos="720"/>
              </w:tabs>
              <w:autoSpaceDE/>
              <w:autoSpaceDN/>
              <w:adjustRightInd/>
              <w:jc w:val="right"/>
            </w:pPr>
            <w:r w:rsidRPr="008C5BCD">
              <w:t>$(</w:t>
            </w:r>
            <w:r w:rsidR="008C5BCD" w:rsidRPr="008C5BCD">
              <w:t>18</w:t>
            </w:r>
            <w:r w:rsidR="002C3D42" w:rsidRPr="008C5BCD">
              <w:t>)</w:t>
            </w:r>
          </w:p>
        </w:tc>
        <w:tc>
          <w:tcPr>
            <w:tcW w:w="222" w:type="dxa"/>
          </w:tcPr>
          <w:p w14:paraId="348ACC48" w14:textId="77777777" w:rsidR="00C43947" w:rsidRPr="008C5BCD" w:rsidRDefault="00C43947" w:rsidP="00C43A95">
            <w:pPr>
              <w:tabs>
                <w:tab w:val="left" w:pos="720"/>
              </w:tabs>
              <w:autoSpaceDE/>
              <w:autoSpaceDN/>
              <w:adjustRightInd/>
              <w:jc w:val="right"/>
            </w:pPr>
          </w:p>
        </w:tc>
        <w:tc>
          <w:tcPr>
            <w:tcW w:w="1152" w:type="dxa"/>
          </w:tcPr>
          <w:p w14:paraId="4BCBA2D9" w14:textId="09836AE4" w:rsidR="00C43947" w:rsidRPr="00581AFB" w:rsidRDefault="00C43947" w:rsidP="00C43A95">
            <w:pPr>
              <w:tabs>
                <w:tab w:val="left" w:pos="720"/>
              </w:tabs>
              <w:autoSpaceDE/>
              <w:autoSpaceDN/>
              <w:adjustRightInd/>
              <w:jc w:val="right"/>
            </w:pPr>
            <w:r>
              <w:t>$(</w:t>
            </w:r>
            <w:r w:rsidR="002C3D42">
              <w:t>1</w:t>
            </w:r>
            <w:r w:rsidR="000F6E1A">
              <w:t>1</w:t>
            </w:r>
            <w:r>
              <w:t>)</w:t>
            </w:r>
          </w:p>
        </w:tc>
        <w:tc>
          <w:tcPr>
            <w:tcW w:w="267" w:type="dxa"/>
          </w:tcPr>
          <w:p w14:paraId="5E333D9D" w14:textId="77777777" w:rsidR="00C43947" w:rsidRPr="00581AFB" w:rsidRDefault="00C43947" w:rsidP="00C43A95">
            <w:pPr>
              <w:tabs>
                <w:tab w:val="left" w:pos="720"/>
              </w:tabs>
              <w:autoSpaceDE/>
              <w:autoSpaceDN/>
              <w:adjustRightInd/>
              <w:jc w:val="right"/>
            </w:pPr>
          </w:p>
        </w:tc>
        <w:tc>
          <w:tcPr>
            <w:tcW w:w="1152" w:type="dxa"/>
          </w:tcPr>
          <w:p w14:paraId="6ECFA79E" w14:textId="31972239" w:rsidR="00C43947" w:rsidRPr="008C5BCD" w:rsidRDefault="00C43947" w:rsidP="00C43A95">
            <w:pPr>
              <w:tabs>
                <w:tab w:val="left" w:pos="720"/>
              </w:tabs>
              <w:autoSpaceDE/>
              <w:autoSpaceDN/>
              <w:adjustRightInd/>
              <w:jc w:val="right"/>
            </w:pPr>
            <w:r w:rsidRPr="008C5BCD">
              <w:t>$(</w:t>
            </w:r>
            <w:r w:rsidR="008C5BCD" w:rsidRPr="008C5BCD">
              <w:t>73</w:t>
            </w:r>
            <w:r w:rsidRPr="008C5BCD">
              <w:t>)</w:t>
            </w:r>
          </w:p>
        </w:tc>
        <w:tc>
          <w:tcPr>
            <w:tcW w:w="288" w:type="dxa"/>
          </w:tcPr>
          <w:p w14:paraId="2F5E54B5" w14:textId="77777777" w:rsidR="00C43947" w:rsidRPr="00581AFB" w:rsidRDefault="00C43947" w:rsidP="00C43A95">
            <w:pPr>
              <w:tabs>
                <w:tab w:val="left" w:pos="720"/>
              </w:tabs>
              <w:autoSpaceDE/>
              <w:autoSpaceDN/>
              <w:adjustRightInd/>
              <w:jc w:val="right"/>
            </w:pPr>
          </w:p>
        </w:tc>
        <w:tc>
          <w:tcPr>
            <w:tcW w:w="1152" w:type="dxa"/>
          </w:tcPr>
          <w:p w14:paraId="50E4646B" w14:textId="34296E54" w:rsidR="00C43947" w:rsidRPr="00581AFB" w:rsidRDefault="00C43947" w:rsidP="00C43A95">
            <w:pPr>
              <w:tabs>
                <w:tab w:val="left" w:pos="720"/>
              </w:tabs>
              <w:autoSpaceDE/>
              <w:autoSpaceDN/>
              <w:adjustRightInd/>
              <w:jc w:val="right"/>
            </w:pPr>
            <w:r w:rsidRPr="00581AFB">
              <w:t>$</w:t>
            </w:r>
            <w:r w:rsidR="008C5BCD">
              <w:t>(44)</w:t>
            </w:r>
          </w:p>
        </w:tc>
      </w:tr>
      <w:tr w:rsidR="00C43947" w:rsidRPr="00581AFB" w14:paraId="7D4CDFAB" w14:textId="77777777" w:rsidTr="00F71D68">
        <w:tc>
          <w:tcPr>
            <w:tcW w:w="2429" w:type="dxa"/>
            <w:shd w:val="clear" w:color="auto" w:fill="auto"/>
          </w:tcPr>
          <w:p w14:paraId="37CBC7CE" w14:textId="37D15FD0" w:rsidR="00C43947" w:rsidRPr="00723DB7" w:rsidRDefault="00C43947" w:rsidP="00C43947">
            <w:pPr>
              <w:tabs>
                <w:tab w:val="left" w:pos="720"/>
              </w:tabs>
              <w:autoSpaceDE/>
              <w:autoSpaceDN/>
              <w:adjustRightInd/>
              <w:ind w:left="288"/>
              <w:jc w:val="both"/>
            </w:pPr>
            <w:r w:rsidRPr="00F71D68">
              <w:t xml:space="preserve">  State </w:t>
            </w:r>
          </w:p>
        </w:tc>
        <w:tc>
          <w:tcPr>
            <w:tcW w:w="1152" w:type="dxa"/>
          </w:tcPr>
          <w:p w14:paraId="1FBCEF26" w14:textId="77777777" w:rsidR="00C43947" w:rsidRPr="008C5BCD" w:rsidRDefault="00C43947" w:rsidP="00C43947">
            <w:pPr>
              <w:tabs>
                <w:tab w:val="left" w:pos="720"/>
              </w:tabs>
              <w:autoSpaceDE/>
              <w:autoSpaceDN/>
              <w:adjustRightInd/>
              <w:jc w:val="right"/>
            </w:pPr>
          </w:p>
        </w:tc>
        <w:tc>
          <w:tcPr>
            <w:tcW w:w="222" w:type="dxa"/>
          </w:tcPr>
          <w:p w14:paraId="2E2F38F5" w14:textId="77777777" w:rsidR="00C43947" w:rsidRPr="008C5BCD" w:rsidRDefault="00C43947" w:rsidP="00C43947">
            <w:pPr>
              <w:tabs>
                <w:tab w:val="left" w:pos="720"/>
              </w:tabs>
              <w:autoSpaceDE/>
              <w:autoSpaceDN/>
              <w:adjustRightInd/>
              <w:jc w:val="right"/>
            </w:pPr>
          </w:p>
        </w:tc>
        <w:tc>
          <w:tcPr>
            <w:tcW w:w="1152" w:type="dxa"/>
          </w:tcPr>
          <w:p w14:paraId="64A8D2AA" w14:textId="77777777" w:rsidR="00C43947" w:rsidRPr="00581AFB" w:rsidRDefault="00C43947" w:rsidP="00C43947">
            <w:pPr>
              <w:tabs>
                <w:tab w:val="left" w:pos="720"/>
              </w:tabs>
              <w:autoSpaceDE/>
              <w:autoSpaceDN/>
              <w:adjustRightInd/>
              <w:jc w:val="right"/>
            </w:pPr>
          </w:p>
        </w:tc>
        <w:tc>
          <w:tcPr>
            <w:tcW w:w="267" w:type="dxa"/>
          </w:tcPr>
          <w:p w14:paraId="3BA69E6C" w14:textId="77777777" w:rsidR="00C43947" w:rsidRPr="00581AFB" w:rsidRDefault="00C43947" w:rsidP="00C43947">
            <w:pPr>
              <w:tabs>
                <w:tab w:val="left" w:pos="720"/>
              </w:tabs>
              <w:autoSpaceDE/>
              <w:autoSpaceDN/>
              <w:adjustRightInd/>
              <w:jc w:val="right"/>
            </w:pPr>
          </w:p>
        </w:tc>
        <w:tc>
          <w:tcPr>
            <w:tcW w:w="1152" w:type="dxa"/>
          </w:tcPr>
          <w:p w14:paraId="021866D6" w14:textId="77777777" w:rsidR="00C43947" w:rsidRPr="008C5BCD" w:rsidRDefault="00C43947" w:rsidP="00C43947">
            <w:pPr>
              <w:tabs>
                <w:tab w:val="left" w:pos="720"/>
              </w:tabs>
              <w:autoSpaceDE/>
              <w:autoSpaceDN/>
              <w:adjustRightInd/>
              <w:jc w:val="right"/>
            </w:pPr>
          </w:p>
        </w:tc>
        <w:tc>
          <w:tcPr>
            <w:tcW w:w="288" w:type="dxa"/>
          </w:tcPr>
          <w:p w14:paraId="7D2DCBCC" w14:textId="77777777" w:rsidR="00C43947" w:rsidRPr="00581AFB" w:rsidRDefault="00C43947" w:rsidP="00C43947">
            <w:pPr>
              <w:tabs>
                <w:tab w:val="left" w:pos="720"/>
              </w:tabs>
              <w:autoSpaceDE/>
              <w:autoSpaceDN/>
              <w:adjustRightInd/>
              <w:jc w:val="right"/>
            </w:pPr>
          </w:p>
        </w:tc>
        <w:tc>
          <w:tcPr>
            <w:tcW w:w="1152" w:type="dxa"/>
          </w:tcPr>
          <w:p w14:paraId="60F049D2" w14:textId="77777777" w:rsidR="00C43947" w:rsidRPr="00581AFB" w:rsidRDefault="00C43947" w:rsidP="00C43947">
            <w:pPr>
              <w:tabs>
                <w:tab w:val="left" w:pos="720"/>
              </w:tabs>
              <w:autoSpaceDE/>
              <w:autoSpaceDN/>
              <w:adjustRightInd/>
              <w:jc w:val="right"/>
            </w:pPr>
          </w:p>
        </w:tc>
      </w:tr>
      <w:tr w:rsidR="002C3D42" w:rsidRPr="00581AFB" w14:paraId="37B99452" w14:textId="77777777" w:rsidTr="00F71D68">
        <w:tc>
          <w:tcPr>
            <w:tcW w:w="2429" w:type="dxa"/>
            <w:shd w:val="clear" w:color="auto" w:fill="auto"/>
          </w:tcPr>
          <w:p w14:paraId="79F165F4" w14:textId="79508BF2" w:rsidR="002C3D42" w:rsidRPr="00723DB7" w:rsidRDefault="002C3D42" w:rsidP="002C3D42">
            <w:pPr>
              <w:tabs>
                <w:tab w:val="left" w:pos="720"/>
              </w:tabs>
              <w:autoSpaceDE/>
              <w:autoSpaceDN/>
              <w:adjustRightInd/>
              <w:ind w:left="288"/>
              <w:jc w:val="both"/>
            </w:pPr>
            <w:r w:rsidRPr="00723DB7">
              <w:t xml:space="preserve">  </w:t>
            </w:r>
            <w:r w:rsidRPr="00F71D68">
              <w:t>State Refund</w:t>
            </w:r>
            <w:r w:rsidRPr="00F71D68">
              <w:rPr>
                <w:vertAlign w:val="superscript"/>
              </w:rPr>
              <w:t xml:space="preserve"> (a)</w:t>
            </w:r>
          </w:p>
        </w:tc>
        <w:tc>
          <w:tcPr>
            <w:tcW w:w="1152" w:type="dxa"/>
            <w:tcBorders>
              <w:bottom w:val="single" w:sz="4" w:space="0" w:color="auto"/>
            </w:tcBorders>
          </w:tcPr>
          <w:p w14:paraId="3CE12B71" w14:textId="70005904" w:rsidR="002C3D42" w:rsidRPr="008C5BCD" w:rsidRDefault="002C3D42" w:rsidP="00723DB7">
            <w:pPr>
              <w:tabs>
                <w:tab w:val="left" w:pos="720"/>
              </w:tabs>
              <w:autoSpaceDE/>
              <w:autoSpaceDN/>
              <w:adjustRightInd/>
              <w:jc w:val="right"/>
            </w:pPr>
            <w:r w:rsidRPr="008C5BCD">
              <w:t>--</w:t>
            </w:r>
          </w:p>
        </w:tc>
        <w:tc>
          <w:tcPr>
            <w:tcW w:w="222" w:type="dxa"/>
          </w:tcPr>
          <w:p w14:paraId="254C53D0" w14:textId="77777777" w:rsidR="002C3D42" w:rsidRPr="008C5BCD" w:rsidRDefault="002C3D42" w:rsidP="002C3D42">
            <w:pPr>
              <w:tabs>
                <w:tab w:val="left" w:pos="720"/>
              </w:tabs>
              <w:autoSpaceDE/>
              <w:autoSpaceDN/>
              <w:adjustRightInd/>
              <w:jc w:val="right"/>
            </w:pPr>
          </w:p>
        </w:tc>
        <w:tc>
          <w:tcPr>
            <w:tcW w:w="1152" w:type="dxa"/>
            <w:tcBorders>
              <w:bottom w:val="single" w:sz="4" w:space="0" w:color="auto"/>
            </w:tcBorders>
          </w:tcPr>
          <w:p w14:paraId="7C380A28" w14:textId="77777777" w:rsidR="002C3D42" w:rsidRPr="00581AFB" w:rsidRDefault="002C3D42" w:rsidP="002C3D42">
            <w:pPr>
              <w:tabs>
                <w:tab w:val="left" w:pos="720"/>
              </w:tabs>
              <w:autoSpaceDE/>
              <w:autoSpaceDN/>
              <w:adjustRightInd/>
              <w:jc w:val="right"/>
            </w:pPr>
            <w:r w:rsidRPr="00581AFB">
              <w:t>--</w:t>
            </w:r>
          </w:p>
        </w:tc>
        <w:tc>
          <w:tcPr>
            <w:tcW w:w="267" w:type="dxa"/>
          </w:tcPr>
          <w:p w14:paraId="0CEA9832" w14:textId="77777777" w:rsidR="002C3D42" w:rsidRPr="00581AFB" w:rsidRDefault="002C3D42" w:rsidP="002C3D42">
            <w:pPr>
              <w:tabs>
                <w:tab w:val="left" w:pos="720"/>
              </w:tabs>
              <w:autoSpaceDE/>
              <w:autoSpaceDN/>
              <w:adjustRightInd/>
              <w:jc w:val="right"/>
            </w:pPr>
          </w:p>
        </w:tc>
        <w:tc>
          <w:tcPr>
            <w:tcW w:w="1152" w:type="dxa"/>
            <w:tcBorders>
              <w:bottom w:val="single" w:sz="4" w:space="0" w:color="auto"/>
            </w:tcBorders>
          </w:tcPr>
          <w:p w14:paraId="1EDD6CCA" w14:textId="10B4308B" w:rsidR="002C3D42" w:rsidRPr="008C5BCD" w:rsidRDefault="002C3D42" w:rsidP="002C3D42">
            <w:pPr>
              <w:tabs>
                <w:tab w:val="left" w:pos="720"/>
              </w:tabs>
              <w:autoSpaceDE/>
              <w:autoSpaceDN/>
              <w:adjustRightInd/>
              <w:jc w:val="right"/>
            </w:pPr>
            <w:r w:rsidRPr="008C5BCD">
              <w:t>(113)</w:t>
            </w:r>
          </w:p>
        </w:tc>
        <w:tc>
          <w:tcPr>
            <w:tcW w:w="288" w:type="dxa"/>
          </w:tcPr>
          <w:p w14:paraId="2FA344D2" w14:textId="77777777" w:rsidR="002C3D42" w:rsidRPr="00581AFB" w:rsidRDefault="002C3D42" w:rsidP="002C3D42">
            <w:pPr>
              <w:tabs>
                <w:tab w:val="left" w:pos="720"/>
              </w:tabs>
              <w:autoSpaceDE/>
              <w:autoSpaceDN/>
              <w:adjustRightInd/>
              <w:jc w:val="right"/>
            </w:pPr>
          </w:p>
        </w:tc>
        <w:tc>
          <w:tcPr>
            <w:tcW w:w="1152" w:type="dxa"/>
            <w:tcBorders>
              <w:bottom w:val="single" w:sz="4" w:space="0" w:color="auto"/>
            </w:tcBorders>
          </w:tcPr>
          <w:p w14:paraId="2593F20D" w14:textId="77777777" w:rsidR="002C3D42" w:rsidRPr="00581AFB" w:rsidRDefault="002C3D42" w:rsidP="002C3D42">
            <w:pPr>
              <w:tabs>
                <w:tab w:val="left" w:pos="720"/>
              </w:tabs>
              <w:autoSpaceDE/>
              <w:autoSpaceDN/>
              <w:adjustRightInd/>
              <w:jc w:val="right"/>
            </w:pPr>
            <w:r w:rsidRPr="00581AFB">
              <w:t>--</w:t>
            </w:r>
          </w:p>
        </w:tc>
      </w:tr>
      <w:tr w:rsidR="002C3D42" w:rsidRPr="00581AFB" w14:paraId="7901F3B9" w14:textId="77777777" w:rsidTr="00C43A95">
        <w:tc>
          <w:tcPr>
            <w:tcW w:w="2429" w:type="dxa"/>
          </w:tcPr>
          <w:p w14:paraId="657BDF16" w14:textId="77777777" w:rsidR="002C3D42" w:rsidRPr="00581AFB" w:rsidRDefault="002C3D42" w:rsidP="002C3D42">
            <w:pPr>
              <w:tabs>
                <w:tab w:val="left" w:pos="720"/>
              </w:tabs>
              <w:autoSpaceDE/>
              <w:autoSpaceDN/>
              <w:adjustRightInd/>
              <w:ind w:left="720"/>
              <w:jc w:val="both"/>
            </w:pPr>
          </w:p>
        </w:tc>
        <w:tc>
          <w:tcPr>
            <w:tcW w:w="1152" w:type="dxa"/>
            <w:tcBorders>
              <w:top w:val="single" w:sz="4" w:space="0" w:color="auto"/>
              <w:bottom w:val="single" w:sz="4" w:space="0" w:color="auto"/>
            </w:tcBorders>
          </w:tcPr>
          <w:p w14:paraId="5C2A2BE7" w14:textId="33E2F1DC" w:rsidR="002C3D42" w:rsidRPr="008C5BCD" w:rsidRDefault="002C3D42" w:rsidP="002C3D42">
            <w:pPr>
              <w:tabs>
                <w:tab w:val="left" w:pos="720"/>
              </w:tabs>
              <w:autoSpaceDE/>
              <w:autoSpaceDN/>
              <w:adjustRightInd/>
              <w:jc w:val="right"/>
            </w:pPr>
            <w:r w:rsidRPr="008C5BCD">
              <w:t>(</w:t>
            </w:r>
            <w:r w:rsidR="008C5BCD" w:rsidRPr="008C5BCD">
              <w:t>18</w:t>
            </w:r>
            <w:r w:rsidRPr="008C5BCD">
              <w:t>)</w:t>
            </w:r>
          </w:p>
        </w:tc>
        <w:tc>
          <w:tcPr>
            <w:tcW w:w="222" w:type="dxa"/>
          </w:tcPr>
          <w:p w14:paraId="58E31FBF" w14:textId="77777777" w:rsidR="002C3D42" w:rsidRPr="008C5BCD" w:rsidRDefault="002C3D42" w:rsidP="002C3D42">
            <w:pPr>
              <w:tabs>
                <w:tab w:val="left" w:pos="720"/>
              </w:tabs>
              <w:autoSpaceDE/>
              <w:autoSpaceDN/>
              <w:adjustRightInd/>
              <w:jc w:val="right"/>
            </w:pPr>
          </w:p>
        </w:tc>
        <w:tc>
          <w:tcPr>
            <w:tcW w:w="1152" w:type="dxa"/>
            <w:tcBorders>
              <w:top w:val="single" w:sz="4" w:space="0" w:color="auto"/>
              <w:bottom w:val="single" w:sz="4" w:space="0" w:color="auto"/>
            </w:tcBorders>
          </w:tcPr>
          <w:p w14:paraId="1C45D2A2" w14:textId="0152DB3B" w:rsidR="002C3D42" w:rsidRPr="00581AFB" w:rsidRDefault="002C3D42" w:rsidP="002C3D42">
            <w:pPr>
              <w:tabs>
                <w:tab w:val="left" w:pos="720"/>
              </w:tabs>
              <w:autoSpaceDE/>
              <w:autoSpaceDN/>
              <w:adjustRightInd/>
              <w:jc w:val="right"/>
            </w:pPr>
            <w:r>
              <w:t>(1</w:t>
            </w:r>
            <w:r w:rsidR="000F6E1A">
              <w:t>1</w:t>
            </w:r>
            <w:r>
              <w:t>)</w:t>
            </w:r>
          </w:p>
        </w:tc>
        <w:tc>
          <w:tcPr>
            <w:tcW w:w="267" w:type="dxa"/>
          </w:tcPr>
          <w:p w14:paraId="3DAE4813" w14:textId="77777777" w:rsidR="002C3D42" w:rsidRPr="00581AFB" w:rsidRDefault="002C3D42" w:rsidP="002C3D42">
            <w:pPr>
              <w:tabs>
                <w:tab w:val="left" w:pos="720"/>
              </w:tabs>
              <w:autoSpaceDE/>
              <w:autoSpaceDN/>
              <w:adjustRightInd/>
              <w:jc w:val="right"/>
            </w:pPr>
          </w:p>
        </w:tc>
        <w:tc>
          <w:tcPr>
            <w:tcW w:w="1152" w:type="dxa"/>
            <w:tcBorders>
              <w:top w:val="single" w:sz="4" w:space="0" w:color="auto"/>
              <w:bottom w:val="single" w:sz="4" w:space="0" w:color="auto"/>
            </w:tcBorders>
          </w:tcPr>
          <w:p w14:paraId="620FD5B8" w14:textId="36594F82" w:rsidR="002C3D42" w:rsidRPr="008C5BCD" w:rsidRDefault="002C3D42" w:rsidP="002C3D42">
            <w:pPr>
              <w:tabs>
                <w:tab w:val="left" w:pos="720"/>
              </w:tabs>
              <w:autoSpaceDE/>
              <w:autoSpaceDN/>
              <w:adjustRightInd/>
              <w:jc w:val="right"/>
            </w:pPr>
            <w:r w:rsidRPr="008C5BCD">
              <w:t>(1</w:t>
            </w:r>
            <w:r w:rsidR="008C5BCD" w:rsidRPr="008C5BCD">
              <w:t>86</w:t>
            </w:r>
            <w:r w:rsidRPr="008C5BCD">
              <w:t>)</w:t>
            </w:r>
          </w:p>
        </w:tc>
        <w:tc>
          <w:tcPr>
            <w:tcW w:w="288" w:type="dxa"/>
          </w:tcPr>
          <w:p w14:paraId="1486E55D" w14:textId="77777777" w:rsidR="002C3D42" w:rsidRPr="00581AFB" w:rsidRDefault="002C3D42" w:rsidP="002C3D42">
            <w:pPr>
              <w:tabs>
                <w:tab w:val="left" w:pos="720"/>
              </w:tabs>
              <w:autoSpaceDE/>
              <w:autoSpaceDN/>
              <w:adjustRightInd/>
              <w:jc w:val="right"/>
            </w:pPr>
          </w:p>
        </w:tc>
        <w:tc>
          <w:tcPr>
            <w:tcW w:w="1152" w:type="dxa"/>
            <w:tcBorders>
              <w:top w:val="single" w:sz="4" w:space="0" w:color="auto"/>
              <w:bottom w:val="single" w:sz="4" w:space="0" w:color="auto"/>
            </w:tcBorders>
          </w:tcPr>
          <w:p w14:paraId="1619DB62" w14:textId="0B2E9854" w:rsidR="002C3D42" w:rsidRPr="00581AFB" w:rsidRDefault="008C5BCD" w:rsidP="002C3D42">
            <w:pPr>
              <w:tabs>
                <w:tab w:val="left" w:pos="720"/>
              </w:tabs>
              <w:autoSpaceDE/>
              <w:autoSpaceDN/>
              <w:adjustRightInd/>
              <w:jc w:val="right"/>
            </w:pPr>
            <w:r>
              <w:t>(44)</w:t>
            </w:r>
          </w:p>
        </w:tc>
      </w:tr>
      <w:tr w:rsidR="002C3D42" w:rsidRPr="00581AFB" w14:paraId="747A2278" w14:textId="77777777" w:rsidTr="00C43A95">
        <w:tc>
          <w:tcPr>
            <w:tcW w:w="2429" w:type="dxa"/>
          </w:tcPr>
          <w:p w14:paraId="5AEFF817" w14:textId="77777777" w:rsidR="002C3D42" w:rsidRPr="00581AFB" w:rsidRDefault="002C3D42" w:rsidP="002C3D42">
            <w:pPr>
              <w:tabs>
                <w:tab w:val="left" w:pos="720"/>
              </w:tabs>
              <w:autoSpaceDE/>
              <w:autoSpaceDN/>
              <w:adjustRightInd/>
              <w:ind w:left="144"/>
            </w:pPr>
            <w:r w:rsidRPr="00581AFB">
              <w:t>Deferred tax provision (benefit):</w:t>
            </w:r>
          </w:p>
        </w:tc>
        <w:tc>
          <w:tcPr>
            <w:tcW w:w="1152" w:type="dxa"/>
            <w:tcBorders>
              <w:top w:val="single" w:sz="4" w:space="0" w:color="auto"/>
            </w:tcBorders>
          </w:tcPr>
          <w:p w14:paraId="430D7C2C" w14:textId="77777777" w:rsidR="002C3D42" w:rsidRPr="008C5BCD" w:rsidRDefault="002C3D42" w:rsidP="002C3D42">
            <w:pPr>
              <w:tabs>
                <w:tab w:val="left" w:pos="720"/>
              </w:tabs>
              <w:autoSpaceDE/>
              <w:autoSpaceDN/>
              <w:adjustRightInd/>
              <w:jc w:val="right"/>
            </w:pPr>
          </w:p>
        </w:tc>
        <w:tc>
          <w:tcPr>
            <w:tcW w:w="222" w:type="dxa"/>
          </w:tcPr>
          <w:p w14:paraId="77617A73" w14:textId="77777777" w:rsidR="002C3D42" w:rsidRPr="008C5BCD" w:rsidRDefault="002C3D42" w:rsidP="002C3D42">
            <w:pPr>
              <w:tabs>
                <w:tab w:val="left" w:pos="720"/>
              </w:tabs>
              <w:autoSpaceDE/>
              <w:autoSpaceDN/>
              <w:adjustRightInd/>
              <w:jc w:val="right"/>
            </w:pPr>
          </w:p>
        </w:tc>
        <w:tc>
          <w:tcPr>
            <w:tcW w:w="1152" w:type="dxa"/>
            <w:tcBorders>
              <w:top w:val="single" w:sz="4" w:space="0" w:color="auto"/>
            </w:tcBorders>
          </w:tcPr>
          <w:p w14:paraId="71A37F24" w14:textId="77777777" w:rsidR="002C3D42" w:rsidRPr="00581AFB" w:rsidRDefault="002C3D42" w:rsidP="002C3D42">
            <w:pPr>
              <w:tabs>
                <w:tab w:val="left" w:pos="720"/>
              </w:tabs>
              <w:autoSpaceDE/>
              <w:autoSpaceDN/>
              <w:adjustRightInd/>
              <w:jc w:val="right"/>
            </w:pPr>
          </w:p>
        </w:tc>
        <w:tc>
          <w:tcPr>
            <w:tcW w:w="267" w:type="dxa"/>
          </w:tcPr>
          <w:p w14:paraId="2851818A" w14:textId="77777777" w:rsidR="002C3D42" w:rsidRPr="00581AFB" w:rsidRDefault="002C3D42" w:rsidP="002C3D42">
            <w:pPr>
              <w:tabs>
                <w:tab w:val="left" w:pos="720"/>
              </w:tabs>
              <w:autoSpaceDE/>
              <w:autoSpaceDN/>
              <w:adjustRightInd/>
              <w:jc w:val="right"/>
            </w:pPr>
          </w:p>
        </w:tc>
        <w:tc>
          <w:tcPr>
            <w:tcW w:w="1152" w:type="dxa"/>
            <w:tcBorders>
              <w:top w:val="single" w:sz="4" w:space="0" w:color="auto"/>
            </w:tcBorders>
          </w:tcPr>
          <w:p w14:paraId="59E34F8B" w14:textId="77777777" w:rsidR="002C3D42" w:rsidRPr="008C5BCD" w:rsidRDefault="002C3D42" w:rsidP="002C3D42">
            <w:pPr>
              <w:tabs>
                <w:tab w:val="left" w:pos="720"/>
              </w:tabs>
              <w:autoSpaceDE/>
              <w:autoSpaceDN/>
              <w:adjustRightInd/>
              <w:jc w:val="right"/>
            </w:pPr>
          </w:p>
        </w:tc>
        <w:tc>
          <w:tcPr>
            <w:tcW w:w="288" w:type="dxa"/>
          </w:tcPr>
          <w:p w14:paraId="006F5B1F" w14:textId="77777777" w:rsidR="002C3D42" w:rsidRPr="00581AFB" w:rsidRDefault="002C3D42" w:rsidP="002C3D42">
            <w:pPr>
              <w:tabs>
                <w:tab w:val="left" w:pos="720"/>
              </w:tabs>
              <w:autoSpaceDE/>
              <w:autoSpaceDN/>
              <w:adjustRightInd/>
              <w:jc w:val="right"/>
            </w:pPr>
          </w:p>
        </w:tc>
        <w:tc>
          <w:tcPr>
            <w:tcW w:w="1152" w:type="dxa"/>
            <w:tcBorders>
              <w:top w:val="single" w:sz="4" w:space="0" w:color="auto"/>
            </w:tcBorders>
          </w:tcPr>
          <w:p w14:paraId="4B075CA6" w14:textId="77777777" w:rsidR="002C3D42" w:rsidRPr="00581AFB" w:rsidRDefault="002C3D42" w:rsidP="002C3D42">
            <w:pPr>
              <w:tabs>
                <w:tab w:val="left" w:pos="720"/>
              </w:tabs>
              <w:autoSpaceDE/>
              <w:autoSpaceDN/>
              <w:adjustRightInd/>
              <w:jc w:val="right"/>
            </w:pPr>
          </w:p>
        </w:tc>
      </w:tr>
      <w:tr w:rsidR="002C3D42" w:rsidRPr="00581AFB" w14:paraId="5FF351BA" w14:textId="77777777" w:rsidTr="00C43A95">
        <w:tc>
          <w:tcPr>
            <w:tcW w:w="2429" w:type="dxa"/>
          </w:tcPr>
          <w:p w14:paraId="0C895CEB" w14:textId="77777777" w:rsidR="002C3D42" w:rsidRPr="00581AFB" w:rsidRDefault="002C3D42" w:rsidP="002C3D42">
            <w:pPr>
              <w:tabs>
                <w:tab w:val="left" w:pos="720"/>
              </w:tabs>
              <w:autoSpaceDE/>
              <w:autoSpaceDN/>
              <w:adjustRightInd/>
              <w:ind w:left="288"/>
              <w:jc w:val="both"/>
            </w:pPr>
            <w:r w:rsidRPr="00581AFB">
              <w:t xml:space="preserve">  Federal</w:t>
            </w:r>
          </w:p>
        </w:tc>
        <w:tc>
          <w:tcPr>
            <w:tcW w:w="1152" w:type="dxa"/>
          </w:tcPr>
          <w:p w14:paraId="0CBE58A6" w14:textId="77777777" w:rsidR="002C3D42" w:rsidRPr="008C5BCD" w:rsidRDefault="002C3D42" w:rsidP="002C3D42">
            <w:pPr>
              <w:tabs>
                <w:tab w:val="left" w:pos="720"/>
              </w:tabs>
              <w:autoSpaceDE/>
              <w:autoSpaceDN/>
              <w:adjustRightInd/>
              <w:jc w:val="right"/>
            </w:pPr>
            <w:r w:rsidRPr="008C5BCD">
              <w:t>--</w:t>
            </w:r>
          </w:p>
        </w:tc>
        <w:tc>
          <w:tcPr>
            <w:tcW w:w="222" w:type="dxa"/>
          </w:tcPr>
          <w:p w14:paraId="7D5B9166" w14:textId="77777777" w:rsidR="002C3D42" w:rsidRPr="008C5BCD" w:rsidRDefault="002C3D42" w:rsidP="002C3D42">
            <w:pPr>
              <w:tabs>
                <w:tab w:val="left" w:pos="720"/>
              </w:tabs>
              <w:autoSpaceDE/>
              <w:autoSpaceDN/>
              <w:adjustRightInd/>
              <w:jc w:val="right"/>
            </w:pPr>
          </w:p>
        </w:tc>
        <w:tc>
          <w:tcPr>
            <w:tcW w:w="1152" w:type="dxa"/>
          </w:tcPr>
          <w:p w14:paraId="3CE5DFA1" w14:textId="77777777" w:rsidR="002C3D42" w:rsidRPr="00581AFB" w:rsidRDefault="002C3D42" w:rsidP="002C3D42">
            <w:pPr>
              <w:tabs>
                <w:tab w:val="left" w:pos="720"/>
              </w:tabs>
              <w:autoSpaceDE/>
              <w:autoSpaceDN/>
              <w:adjustRightInd/>
              <w:jc w:val="right"/>
            </w:pPr>
            <w:r>
              <w:t>--</w:t>
            </w:r>
          </w:p>
        </w:tc>
        <w:tc>
          <w:tcPr>
            <w:tcW w:w="267" w:type="dxa"/>
          </w:tcPr>
          <w:p w14:paraId="59C0FAC7" w14:textId="77777777" w:rsidR="002C3D42" w:rsidRPr="00581AFB" w:rsidRDefault="002C3D42" w:rsidP="002C3D42">
            <w:pPr>
              <w:tabs>
                <w:tab w:val="left" w:pos="720"/>
              </w:tabs>
              <w:autoSpaceDE/>
              <w:autoSpaceDN/>
              <w:adjustRightInd/>
              <w:jc w:val="right"/>
            </w:pPr>
          </w:p>
        </w:tc>
        <w:tc>
          <w:tcPr>
            <w:tcW w:w="1152" w:type="dxa"/>
          </w:tcPr>
          <w:p w14:paraId="5B619595" w14:textId="77777777" w:rsidR="002C3D42" w:rsidRPr="008C5BCD" w:rsidRDefault="002C3D42" w:rsidP="002C3D42">
            <w:pPr>
              <w:tabs>
                <w:tab w:val="left" w:pos="720"/>
              </w:tabs>
              <w:autoSpaceDE/>
              <w:autoSpaceDN/>
              <w:adjustRightInd/>
              <w:jc w:val="right"/>
            </w:pPr>
            <w:r w:rsidRPr="008C5BCD">
              <w:t>--</w:t>
            </w:r>
          </w:p>
        </w:tc>
        <w:tc>
          <w:tcPr>
            <w:tcW w:w="288" w:type="dxa"/>
          </w:tcPr>
          <w:p w14:paraId="49B4678B" w14:textId="77777777" w:rsidR="002C3D42" w:rsidRPr="00581AFB" w:rsidRDefault="002C3D42" w:rsidP="002C3D42">
            <w:pPr>
              <w:tabs>
                <w:tab w:val="left" w:pos="720"/>
              </w:tabs>
              <w:autoSpaceDE/>
              <w:autoSpaceDN/>
              <w:adjustRightInd/>
              <w:jc w:val="right"/>
            </w:pPr>
          </w:p>
        </w:tc>
        <w:tc>
          <w:tcPr>
            <w:tcW w:w="1152" w:type="dxa"/>
          </w:tcPr>
          <w:p w14:paraId="28F52759" w14:textId="624B6AD7" w:rsidR="002C3D42" w:rsidRPr="00581AFB" w:rsidRDefault="008C5BCD" w:rsidP="002C3D42">
            <w:pPr>
              <w:tabs>
                <w:tab w:val="left" w:pos="720"/>
              </w:tabs>
              <w:autoSpaceDE/>
              <w:autoSpaceDN/>
              <w:adjustRightInd/>
              <w:jc w:val="right"/>
            </w:pPr>
            <w:r w:rsidRPr="00581AFB">
              <w:t>--</w:t>
            </w:r>
          </w:p>
        </w:tc>
      </w:tr>
      <w:tr w:rsidR="002C3D42" w:rsidRPr="00581AFB" w14:paraId="0F399264" w14:textId="77777777" w:rsidTr="00C43A95">
        <w:tc>
          <w:tcPr>
            <w:tcW w:w="2429" w:type="dxa"/>
          </w:tcPr>
          <w:p w14:paraId="149348F4" w14:textId="77777777" w:rsidR="002C3D42" w:rsidRPr="00581AFB" w:rsidRDefault="002C3D42" w:rsidP="002C3D42">
            <w:pPr>
              <w:tabs>
                <w:tab w:val="left" w:pos="720"/>
              </w:tabs>
              <w:autoSpaceDE/>
              <w:autoSpaceDN/>
              <w:adjustRightInd/>
              <w:ind w:left="288"/>
              <w:jc w:val="both"/>
            </w:pPr>
            <w:r w:rsidRPr="00581AFB">
              <w:t xml:space="preserve">  State</w:t>
            </w:r>
          </w:p>
        </w:tc>
        <w:tc>
          <w:tcPr>
            <w:tcW w:w="1152" w:type="dxa"/>
            <w:tcBorders>
              <w:bottom w:val="single" w:sz="4" w:space="0" w:color="auto"/>
            </w:tcBorders>
          </w:tcPr>
          <w:p w14:paraId="71628032" w14:textId="77777777" w:rsidR="002C3D42" w:rsidRPr="008C5BCD" w:rsidRDefault="002C3D42" w:rsidP="002C3D42">
            <w:pPr>
              <w:tabs>
                <w:tab w:val="left" w:pos="720"/>
              </w:tabs>
              <w:autoSpaceDE/>
              <w:autoSpaceDN/>
              <w:adjustRightInd/>
              <w:jc w:val="right"/>
            </w:pPr>
            <w:r w:rsidRPr="008C5BCD">
              <w:t>--</w:t>
            </w:r>
          </w:p>
        </w:tc>
        <w:tc>
          <w:tcPr>
            <w:tcW w:w="222" w:type="dxa"/>
          </w:tcPr>
          <w:p w14:paraId="6ADCE9E9" w14:textId="77777777" w:rsidR="002C3D42" w:rsidRPr="008C5BCD" w:rsidRDefault="002C3D42" w:rsidP="002C3D42">
            <w:pPr>
              <w:tabs>
                <w:tab w:val="left" w:pos="720"/>
              </w:tabs>
              <w:autoSpaceDE/>
              <w:autoSpaceDN/>
              <w:adjustRightInd/>
              <w:jc w:val="right"/>
            </w:pPr>
          </w:p>
        </w:tc>
        <w:tc>
          <w:tcPr>
            <w:tcW w:w="1152" w:type="dxa"/>
            <w:tcBorders>
              <w:bottom w:val="single" w:sz="4" w:space="0" w:color="auto"/>
            </w:tcBorders>
          </w:tcPr>
          <w:p w14:paraId="38067147" w14:textId="77777777" w:rsidR="002C3D42" w:rsidRPr="00581AFB" w:rsidRDefault="002C3D42" w:rsidP="002C3D42">
            <w:pPr>
              <w:tabs>
                <w:tab w:val="left" w:pos="720"/>
              </w:tabs>
              <w:autoSpaceDE/>
              <w:autoSpaceDN/>
              <w:adjustRightInd/>
              <w:jc w:val="right"/>
            </w:pPr>
            <w:r w:rsidRPr="00581AFB">
              <w:t>--</w:t>
            </w:r>
          </w:p>
        </w:tc>
        <w:tc>
          <w:tcPr>
            <w:tcW w:w="267" w:type="dxa"/>
          </w:tcPr>
          <w:p w14:paraId="6A347E57" w14:textId="77777777" w:rsidR="002C3D42" w:rsidRPr="00581AFB" w:rsidRDefault="002C3D42" w:rsidP="002C3D42">
            <w:pPr>
              <w:tabs>
                <w:tab w:val="left" w:pos="720"/>
              </w:tabs>
              <w:autoSpaceDE/>
              <w:autoSpaceDN/>
              <w:adjustRightInd/>
              <w:jc w:val="right"/>
            </w:pPr>
          </w:p>
        </w:tc>
        <w:tc>
          <w:tcPr>
            <w:tcW w:w="1152" w:type="dxa"/>
            <w:tcBorders>
              <w:bottom w:val="single" w:sz="4" w:space="0" w:color="auto"/>
            </w:tcBorders>
          </w:tcPr>
          <w:p w14:paraId="7ADFCFBB" w14:textId="77777777" w:rsidR="002C3D42" w:rsidRPr="008C5BCD" w:rsidRDefault="002C3D42" w:rsidP="002C3D42">
            <w:pPr>
              <w:tabs>
                <w:tab w:val="left" w:pos="720"/>
              </w:tabs>
              <w:autoSpaceDE/>
              <w:autoSpaceDN/>
              <w:adjustRightInd/>
              <w:jc w:val="right"/>
            </w:pPr>
            <w:r w:rsidRPr="008C5BCD">
              <w:t>--</w:t>
            </w:r>
          </w:p>
        </w:tc>
        <w:tc>
          <w:tcPr>
            <w:tcW w:w="288" w:type="dxa"/>
          </w:tcPr>
          <w:p w14:paraId="773129FF" w14:textId="77777777" w:rsidR="002C3D42" w:rsidRPr="00581AFB" w:rsidRDefault="002C3D42" w:rsidP="002C3D42">
            <w:pPr>
              <w:tabs>
                <w:tab w:val="left" w:pos="720"/>
              </w:tabs>
              <w:autoSpaceDE/>
              <w:autoSpaceDN/>
              <w:adjustRightInd/>
              <w:jc w:val="right"/>
            </w:pPr>
          </w:p>
        </w:tc>
        <w:tc>
          <w:tcPr>
            <w:tcW w:w="1152" w:type="dxa"/>
            <w:tcBorders>
              <w:bottom w:val="single" w:sz="4" w:space="0" w:color="auto"/>
            </w:tcBorders>
          </w:tcPr>
          <w:p w14:paraId="34251F96" w14:textId="77777777" w:rsidR="002C3D42" w:rsidRPr="00581AFB" w:rsidRDefault="002C3D42" w:rsidP="002C3D42">
            <w:pPr>
              <w:tabs>
                <w:tab w:val="left" w:pos="720"/>
              </w:tabs>
              <w:autoSpaceDE/>
              <w:autoSpaceDN/>
              <w:adjustRightInd/>
              <w:jc w:val="right"/>
            </w:pPr>
            <w:r w:rsidRPr="00581AFB">
              <w:t>--</w:t>
            </w:r>
          </w:p>
        </w:tc>
      </w:tr>
      <w:tr w:rsidR="002C3D42" w:rsidRPr="00581AFB" w14:paraId="154436DC" w14:textId="77777777" w:rsidTr="00C43A95">
        <w:tc>
          <w:tcPr>
            <w:tcW w:w="2429" w:type="dxa"/>
          </w:tcPr>
          <w:p w14:paraId="2EB1B216" w14:textId="77777777" w:rsidR="002C3D42" w:rsidRPr="00581AFB" w:rsidRDefault="002C3D42" w:rsidP="002C3D42">
            <w:pPr>
              <w:tabs>
                <w:tab w:val="left" w:pos="720"/>
              </w:tabs>
              <w:autoSpaceDE/>
              <w:autoSpaceDN/>
              <w:adjustRightInd/>
              <w:ind w:left="720"/>
              <w:jc w:val="both"/>
            </w:pPr>
          </w:p>
        </w:tc>
        <w:tc>
          <w:tcPr>
            <w:tcW w:w="1152" w:type="dxa"/>
            <w:tcBorders>
              <w:top w:val="single" w:sz="4" w:space="0" w:color="auto"/>
              <w:bottom w:val="single" w:sz="4" w:space="0" w:color="auto"/>
            </w:tcBorders>
          </w:tcPr>
          <w:p w14:paraId="7209D2D3" w14:textId="77777777" w:rsidR="002C3D42" w:rsidRPr="008C5BCD" w:rsidRDefault="002C3D42" w:rsidP="002C3D42">
            <w:pPr>
              <w:tabs>
                <w:tab w:val="left" w:pos="720"/>
              </w:tabs>
              <w:autoSpaceDE/>
              <w:autoSpaceDN/>
              <w:adjustRightInd/>
              <w:jc w:val="right"/>
            </w:pPr>
            <w:r w:rsidRPr="008C5BCD">
              <w:t>--</w:t>
            </w:r>
          </w:p>
        </w:tc>
        <w:tc>
          <w:tcPr>
            <w:tcW w:w="222" w:type="dxa"/>
          </w:tcPr>
          <w:p w14:paraId="7DE9EAE0" w14:textId="77777777" w:rsidR="002C3D42" w:rsidRPr="008C5BCD" w:rsidRDefault="002C3D42" w:rsidP="002C3D42">
            <w:pPr>
              <w:tabs>
                <w:tab w:val="left" w:pos="720"/>
              </w:tabs>
              <w:autoSpaceDE/>
              <w:autoSpaceDN/>
              <w:adjustRightInd/>
              <w:jc w:val="right"/>
            </w:pPr>
          </w:p>
        </w:tc>
        <w:tc>
          <w:tcPr>
            <w:tcW w:w="1152" w:type="dxa"/>
            <w:tcBorders>
              <w:top w:val="single" w:sz="4" w:space="0" w:color="auto"/>
              <w:bottom w:val="single" w:sz="4" w:space="0" w:color="auto"/>
            </w:tcBorders>
          </w:tcPr>
          <w:p w14:paraId="11E487E4" w14:textId="77777777" w:rsidR="002C3D42" w:rsidRPr="00581AFB" w:rsidRDefault="002C3D42" w:rsidP="002C3D42">
            <w:pPr>
              <w:tabs>
                <w:tab w:val="left" w:pos="720"/>
              </w:tabs>
              <w:autoSpaceDE/>
              <w:autoSpaceDN/>
              <w:adjustRightInd/>
              <w:jc w:val="right"/>
            </w:pPr>
            <w:r>
              <w:t>--</w:t>
            </w:r>
          </w:p>
        </w:tc>
        <w:tc>
          <w:tcPr>
            <w:tcW w:w="267" w:type="dxa"/>
          </w:tcPr>
          <w:p w14:paraId="073DFAB1" w14:textId="77777777" w:rsidR="002C3D42" w:rsidRPr="00581AFB" w:rsidRDefault="002C3D42" w:rsidP="002C3D42">
            <w:pPr>
              <w:tabs>
                <w:tab w:val="left" w:pos="720"/>
              </w:tabs>
              <w:autoSpaceDE/>
              <w:autoSpaceDN/>
              <w:adjustRightInd/>
              <w:jc w:val="right"/>
            </w:pPr>
          </w:p>
        </w:tc>
        <w:tc>
          <w:tcPr>
            <w:tcW w:w="1152" w:type="dxa"/>
            <w:tcBorders>
              <w:top w:val="single" w:sz="4" w:space="0" w:color="auto"/>
              <w:bottom w:val="single" w:sz="4" w:space="0" w:color="auto"/>
            </w:tcBorders>
          </w:tcPr>
          <w:p w14:paraId="6FC70900" w14:textId="77777777" w:rsidR="002C3D42" w:rsidRPr="008C5BCD" w:rsidRDefault="002C3D42" w:rsidP="002C3D42">
            <w:pPr>
              <w:tabs>
                <w:tab w:val="left" w:pos="720"/>
              </w:tabs>
              <w:autoSpaceDE/>
              <w:autoSpaceDN/>
              <w:adjustRightInd/>
              <w:jc w:val="right"/>
            </w:pPr>
            <w:r w:rsidRPr="008C5BCD">
              <w:t>--</w:t>
            </w:r>
          </w:p>
        </w:tc>
        <w:tc>
          <w:tcPr>
            <w:tcW w:w="288" w:type="dxa"/>
          </w:tcPr>
          <w:p w14:paraId="41B147C0" w14:textId="77777777" w:rsidR="002C3D42" w:rsidRPr="00581AFB" w:rsidRDefault="002C3D42" w:rsidP="002C3D42">
            <w:pPr>
              <w:tabs>
                <w:tab w:val="left" w:pos="720"/>
              </w:tabs>
              <w:autoSpaceDE/>
              <w:autoSpaceDN/>
              <w:adjustRightInd/>
              <w:jc w:val="right"/>
            </w:pPr>
          </w:p>
        </w:tc>
        <w:tc>
          <w:tcPr>
            <w:tcW w:w="1152" w:type="dxa"/>
            <w:tcBorders>
              <w:top w:val="single" w:sz="4" w:space="0" w:color="auto"/>
              <w:bottom w:val="single" w:sz="4" w:space="0" w:color="auto"/>
            </w:tcBorders>
          </w:tcPr>
          <w:p w14:paraId="491A693D" w14:textId="37277A0E" w:rsidR="002C3D42" w:rsidRPr="00581AFB" w:rsidRDefault="008C5BCD" w:rsidP="002C3D42">
            <w:pPr>
              <w:tabs>
                <w:tab w:val="left" w:pos="720"/>
              </w:tabs>
              <w:autoSpaceDE/>
              <w:autoSpaceDN/>
              <w:adjustRightInd/>
              <w:jc w:val="right"/>
            </w:pPr>
            <w:r>
              <w:t>--</w:t>
            </w:r>
          </w:p>
        </w:tc>
      </w:tr>
      <w:tr w:rsidR="002C3D42" w:rsidRPr="00581AFB" w14:paraId="5ADB95F8" w14:textId="77777777" w:rsidTr="00C43A95">
        <w:tc>
          <w:tcPr>
            <w:tcW w:w="2429" w:type="dxa"/>
          </w:tcPr>
          <w:p w14:paraId="74F94666" w14:textId="77777777" w:rsidR="002C3D42" w:rsidRPr="00581AFB" w:rsidRDefault="002C3D42" w:rsidP="002C3D42">
            <w:pPr>
              <w:tabs>
                <w:tab w:val="left" w:pos="720"/>
              </w:tabs>
              <w:autoSpaceDE/>
              <w:autoSpaceDN/>
              <w:adjustRightInd/>
              <w:ind w:left="720"/>
              <w:jc w:val="both"/>
            </w:pPr>
            <w:r w:rsidRPr="00581AFB">
              <w:t xml:space="preserve">    Total</w:t>
            </w:r>
          </w:p>
        </w:tc>
        <w:tc>
          <w:tcPr>
            <w:tcW w:w="1152" w:type="dxa"/>
            <w:tcBorders>
              <w:top w:val="single" w:sz="4" w:space="0" w:color="auto"/>
              <w:bottom w:val="double" w:sz="4" w:space="0" w:color="auto"/>
            </w:tcBorders>
          </w:tcPr>
          <w:p w14:paraId="1A0EA4E7" w14:textId="2548A06A" w:rsidR="002C3D42" w:rsidRPr="008C5BCD" w:rsidRDefault="002C3D42" w:rsidP="002C3D42">
            <w:pPr>
              <w:tabs>
                <w:tab w:val="left" w:pos="720"/>
              </w:tabs>
              <w:autoSpaceDE/>
              <w:autoSpaceDN/>
              <w:adjustRightInd/>
              <w:jc w:val="right"/>
            </w:pPr>
            <w:r w:rsidRPr="008C5BCD">
              <w:t>$(</w:t>
            </w:r>
            <w:r w:rsidR="008C5BCD" w:rsidRPr="008C5BCD">
              <w:t>18</w:t>
            </w:r>
            <w:r w:rsidRPr="008C5BCD">
              <w:t>)</w:t>
            </w:r>
          </w:p>
        </w:tc>
        <w:tc>
          <w:tcPr>
            <w:tcW w:w="222" w:type="dxa"/>
          </w:tcPr>
          <w:p w14:paraId="3ED8F07C" w14:textId="77777777" w:rsidR="002C3D42" w:rsidRPr="008C5BCD" w:rsidRDefault="002C3D42" w:rsidP="002C3D42">
            <w:pPr>
              <w:tabs>
                <w:tab w:val="left" w:pos="720"/>
              </w:tabs>
              <w:autoSpaceDE/>
              <w:autoSpaceDN/>
              <w:adjustRightInd/>
              <w:jc w:val="right"/>
            </w:pPr>
          </w:p>
        </w:tc>
        <w:tc>
          <w:tcPr>
            <w:tcW w:w="1152" w:type="dxa"/>
            <w:tcBorders>
              <w:top w:val="single" w:sz="4" w:space="0" w:color="auto"/>
              <w:bottom w:val="double" w:sz="4" w:space="0" w:color="auto"/>
            </w:tcBorders>
          </w:tcPr>
          <w:p w14:paraId="238E923A" w14:textId="3EDCF596" w:rsidR="002C3D42" w:rsidRPr="00581AFB" w:rsidRDefault="002C3D42" w:rsidP="002C3D42">
            <w:pPr>
              <w:tabs>
                <w:tab w:val="left" w:pos="720"/>
              </w:tabs>
              <w:autoSpaceDE/>
              <w:autoSpaceDN/>
              <w:adjustRightInd/>
              <w:jc w:val="right"/>
            </w:pPr>
            <w:r>
              <w:t>$(1</w:t>
            </w:r>
            <w:r w:rsidR="000F6E1A">
              <w:t>1</w:t>
            </w:r>
            <w:r>
              <w:t>)</w:t>
            </w:r>
          </w:p>
        </w:tc>
        <w:tc>
          <w:tcPr>
            <w:tcW w:w="267" w:type="dxa"/>
          </w:tcPr>
          <w:p w14:paraId="2F8C71FE" w14:textId="77777777" w:rsidR="002C3D42" w:rsidRPr="00581AFB" w:rsidRDefault="002C3D42" w:rsidP="002C3D42">
            <w:pPr>
              <w:tabs>
                <w:tab w:val="left" w:pos="720"/>
              </w:tabs>
              <w:autoSpaceDE/>
              <w:autoSpaceDN/>
              <w:adjustRightInd/>
              <w:jc w:val="right"/>
            </w:pPr>
          </w:p>
        </w:tc>
        <w:tc>
          <w:tcPr>
            <w:tcW w:w="1152" w:type="dxa"/>
            <w:tcBorders>
              <w:top w:val="single" w:sz="4" w:space="0" w:color="auto"/>
              <w:bottom w:val="double" w:sz="4" w:space="0" w:color="auto"/>
            </w:tcBorders>
          </w:tcPr>
          <w:p w14:paraId="39FDFC95" w14:textId="0EF0EA42" w:rsidR="002C3D42" w:rsidRPr="008C5BCD" w:rsidRDefault="002C3D42" w:rsidP="002C3D42">
            <w:pPr>
              <w:tabs>
                <w:tab w:val="left" w:pos="720"/>
              </w:tabs>
              <w:autoSpaceDE/>
              <w:autoSpaceDN/>
              <w:adjustRightInd/>
              <w:jc w:val="right"/>
            </w:pPr>
            <w:r w:rsidRPr="008C5BCD">
              <w:t>$(1</w:t>
            </w:r>
            <w:r w:rsidR="008C5BCD" w:rsidRPr="008C5BCD">
              <w:t>86</w:t>
            </w:r>
            <w:r w:rsidRPr="008C5BCD">
              <w:t>)</w:t>
            </w:r>
          </w:p>
        </w:tc>
        <w:tc>
          <w:tcPr>
            <w:tcW w:w="288" w:type="dxa"/>
          </w:tcPr>
          <w:p w14:paraId="5FCFBBC4" w14:textId="77777777" w:rsidR="002C3D42" w:rsidRPr="00581AFB" w:rsidRDefault="002C3D42" w:rsidP="002C3D42">
            <w:pPr>
              <w:tabs>
                <w:tab w:val="left" w:pos="720"/>
              </w:tabs>
              <w:autoSpaceDE/>
              <w:autoSpaceDN/>
              <w:adjustRightInd/>
              <w:jc w:val="right"/>
            </w:pPr>
          </w:p>
        </w:tc>
        <w:tc>
          <w:tcPr>
            <w:tcW w:w="1152" w:type="dxa"/>
            <w:tcBorders>
              <w:top w:val="single" w:sz="4" w:space="0" w:color="auto"/>
              <w:bottom w:val="double" w:sz="4" w:space="0" w:color="auto"/>
            </w:tcBorders>
          </w:tcPr>
          <w:p w14:paraId="3F632DAA" w14:textId="38CB67A0" w:rsidR="002C3D42" w:rsidRPr="00581AFB" w:rsidRDefault="002C3D42" w:rsidP="002C3D42">
            <w:pPr>
              <w:tabs>
                <w:tab w:val="left" w:pos="720"/>
              </w:tabs>
              <w:autoSpaceDE/>
              <w:autoSpaceDN/>
              <w:adjustRightInd/>
              <w:jc w:val="right"/>
            </w:pPr>
            <w:r w:rsidRPr="00581AFB">
              <w:t>$</w:t>
            </w:r>
            <w:r w:rsidR="008C5BCD">
              <w:t>(44)</w:t>
            </w:r>
          </w:p>
        </w:tc>
      </w:tr>
    </w:tbl>
    <w:p w14:paraId="4AA22FDE" w14:textId="15D81302" w:rsidR="00C43947" w:rsidRDefault="00C43947" w:rsidP="00206116">
      <w:pPr>
        <w:tabs>
          <w:tab w:val="left" w:pos="720"/>
        </w:tabs>
        <w:autoSpaceDE/>
        <w:autoSpaceDN/>
        <w:adjustRightInd/>
        <w:ind w:left="720"/>
        <w:jc w:val="both"/>
      </w:pPr>
    </w:p>
    <w:p w14:paraId="4BC573FA" w14:textId="77777777" w:rsidR="002C3D42" w:rsidRPr="00F71D68" w:rsidRDefault="00C43947" w:rsidP="00C43947">
      <w:pPr>
        <w:pStyle w:val="ListParagraph"/>
        <w:numPr>
          <w:ilvl w:val="0"/>
          <w:numId w:val="35"/>
        </w:numPr>
        <w:tabs>
          <w:tab w:val="left" w:pos="720"/>
        </w:tabs>
        <w:autoSpaceDN/>
        <w:jc w:val="both"/>
        <w:rPr>
          <w:rFonts w:ascii="Times New Roman" w:hAnsi="Times New Roman" w:cs="Times New Roman"/>
        </w:rPr>
      </w:pPr>
      <w:r w:rsidRPr="00723DB7">
        <w:rPr>
          <w:rFonts w:ascii="Times New Roman" w:hAnsi="Times New Roman" w:cs="Times New Roman"/>
          <w:color w:val="000000"/>
        </w:rPr>
        <w:t xml:space="preserve">In </w:t>
      </w:r>
      <w:r w:rsidRPr="00F71D68">
        <w:rPr>
          <w:rFonts w:ascii="Times New Roman" w:hAnsi="Times New Roman" w:cs="Times New Roman"/>
          <w:color w:val="000000"/>
        </w:rPr>
        <w:t xml:space="preserve">the </w:t>
      </w:r>
      <w:r w:rsidR="002C3D42" w:rsidRPr="00F71D68">
        <w:rPr>
          <w:rFonts w:ascii="Times New Roman" w:hAnsi="Times New Roman" w:cs="Times New Roman"/>
          <w:color w:val="000000"/>
        </w:rPr>
        <w:t xml:space="preserve">first </w:t>
      </w:r>
      <w:r w:rsidRPr="00F71D68">
        <w:rPr>
          <w:rFonts w:ascii="Times New Roman" w:hAnsi="Times New Roman" w:cs="Times New Roman"/>
          <w:color w:val="000000"/>
        </w:rPr>
        <w:t xml:space="preserve">quarter of 2021 we received a $113,000 refund from the state of New Mexico </w:t>
      </w:r>
    </w:p>
    <w:p w14:paraId="36A0E5E2" w14:textId="030259AD" w:rsidR="00C43947" w:rsidRPr="00F71D68" w:rsidRDefault="00C43947" w:rsidP="00F71D68">
      <w:pPr>
        <w:pStyle w:val="ListParagraph"/>
        <w:tabs>
          <w:tab w:val="left" w:pos="720"/>
        </w:tabs>
        <w:autoSpaceDN/>
        <w:ind w:left="1080"/>
        <w:jc w:val="both"/>
        <w:rPr>
          <w:rFonts w:ascii="Times New Roman" w:hAnsi="Times New Roman" w:cs="Times New Roman"/>
        </w:rPr>
      </w:pPr>
      <w:r w:rsidRPr="00F71D68">
        <w:rPr>
          <w:rFonts w:ascii="Times New Roman" w:hAnsi="Times New Roman" w:cs="Times New Roman"/>
          <w:color w:val="000000"/>
        </w:rPr>
        <w:t xml:space="preserve">related to tax withholdings from 2012 </w:t>
      </w:r>
    </w:p>
    <w:p w14:paraId="6B8A9F26" w14:textId="092B0600" w:rsidR="00206116" w:rsidRPr="00FF2EC9" w:rsidRDefault="00F47AFF" w:rsidP="00206116">
      <w:pPr>
        <w:keepNext/>
        <w:autoSpaceDE/>
        <w:autoSpaceDN/>
        <w:adjustRightInd/>
        <w:ind w:left="360"/>
        <w:jc w:val="both"/>
      </w:pPr>
      <w:r>
        <w:rPr>
          <w:b/>
          <w:bCs/>
        </w:rPr>
        <w:t>5</w:t>
      </w:r>
      <w:r w:rsidR="00206116" w:rsidRPr="00FF2EC9">
        <w:rPr>
          <w:b/>
          <w:bCs/>
        </w:rPr>
        <w:t>. Concentration of Risk</w:t>
      </w:r>
    </w:p>
    <w:p w14:paraId="4008783B" w14:textId="77777777" w:rsidR="00206116" w:rsidRPr="00FF2EC9" w:rsidRDefault="00206116" w:rsidP="00206116">
      <w:pPr>
        <w:autoSpaceDE/>
        <w:autoSpaceDN/>
        <w:adjustRightInd/>
        <w:ind w:left="720"/>
        <w:jc w:val="both"/>
      </w:pPr>
    </w:p>
    <w:p w14:paraId="1B88F093" w14:textId="77777777" w:rsidR="00206116" w:rsidRPr="00FF2EC9" w:rsidRDefault="00206116" w:rsidP="00206116">
      <w:pPr>
        <w:autoSpaceDE/>
        <w:autoSpaceDN/>
        <w:adjustRightInd/>
        <w:ind w:left="720"/>
        <w:jc w:val="both"/>
        <w:rPr>
          <w:b/>
          <w:i/>
        </w:rPr>
      </w:pPr>
      <w:r w:rsidRPr="00FF2EC9">
        <w:rPr>
          <w:b/>
          <w:i/>
        </w:rPr>
        <w:t>Credit Risk</w:t>
      </w:r>
    </w:p>
    <w:p w14:paraId="6F81FDE8" w14:textId="77777777" w:rsidR="00206116" w:rsidRPr="00FF2EC9" w:rsidRDefault="00206116" w:rsidP="00206116">
      <w:pPr>
        <w:autoSpaceDE/>
        <w:autoSpaceDN/>
        <w:adjustRightInd/>
        <w:ind w:left="720"/>
        <w:jc w:val="both"/>
      </w:pPr>
    </w:p>
    <w:p w14:paraId="68F6AA8F" w14:textId="77777777" w:rsidR="00206116" w:rsidRPr="00FF2EC9" w:rsidRDefault="00206116" w:rsidP="00206116">
      <w:pPr>
        <w:autoSpaceDE/>
        <w:autoSpaceDN/>
        <w:adjustRightInd/>
        <w:ind w:left="720"/>
        <w:jc w:val="both"/>
      </w:pPr>
      <w:r w:rsidRPr="00FF2EC9">
        <w:t>Financial instruments which potentially subject the Company to concentrations of credit risk consist principally of cash and cash equivalents and the note receivable</w:t>
      </w:r>
      <w:proofErr w:type="gramStart"/>
      <w:r w:rsidRPr="00FF2EC9">
        <w:t xml:space="preserve">.  </w:t>
      </w:r>
      <w:proofErr w:type="gramEnd"/>
      <w:r w:rsidRPr="00FF2EC9">
        <w:t>The Company's cash and cash equivalents may at times exceed federally insured amounts.</w:t>
      </w:r>
    </w:p>
    <w:p w14:paraId="59FA24C3" w14:textId="77777777" w:rsidR="00206116" w:rsidRPr="00FF2EC9" w:rsidRDefault="00206116" w:rsidP="00206116">
      <w:pPr>
        <w:keepNext/>
        <w:autoSpaceDE/>
        <w:autoSpaceDN/>
        <w:adjustRightInd/>
        <w:ind w:left="720" w:right="14"/>
        <w:jc w:val="both"/>
        <w:rPr>
          <w:b/>
          <w:bCs/>
        </w:rPr>
      </w:pPr>
    </w:p>
    <w:p w14:paraId="6C612D7F" w14:textId="67BDE081" w:rsidR="00206116" w:rsidRPr="00FF2EC9" w:rsidRDefault="00F47AFF" w:rsidP="00206116">
      <w:pPr>
        <w:keepNext/>
        <w:autoSpaceDE/>
        <w:autoSpaceDN/>
        <w:adjustRightInd/>
        <w:ind w:left="360"/>
        <w:jc w:val="both"/>
        <w:rPr>
          <w:b/>
          <w:bCs/>
        </w:rPr>
      </w:pPr>
      <w:r>
        <w:rPr>
          <w:b/>
          <w:bCs/>
        </w:rPr>
        <w:t>6</w:t>
      </w:r>
      <w:r w:rsidR="00206116" w:rsidRPr="00FF2EC9">
        <w:rPr>
          <w:b/>
          <w:bCs/>
        </w:rPr>
        <w:t>.</w:t>
      </w:r>
      <w:r w:rsidR="00206116" w:rsidRPr="00FF2EC9">
        <w:rPr>
          <w:b/>
          <w:bCs/>
        </w:rPr>
        <w:tab/>
        <w:t>Related Party Transactions (Not Disclosed Elsewhere)</w:t>
      </w:r>
    </w:p>
    <w:p w14:paraId="671B471D" w14:textId="7735210B" w:rsidR="00206116" w:rsidRPr="00FF2EC9" w:rsidRDefault="00206116" w:rsidP="00206116">
      <w:pPr>
        <w:tabs>
          <w:tab w:val="left" w:pos="720"/>
        </w:tabs>
        <w:autoSpaceDE/>
        <w:autoSpaceDN/>
        <w:adjustRightInd/>
        <w:ind w:left="720"/>
        <w:jc w:val="both"/>
      </w:pPr>
      <w:r w:rsidRPr="00FF2EC9">
        <w:br/>
        <w:t xml:space="preserve">LICT Corporation, an affiliate, provides administrative and management services to </w:t>
      </w:r>
      <w:r w:rsidRPr="00FF2EC9">
        <w:lastRenderedPageBreak/>
        <w:t>CIBL</w:t>
      </w:r>
      <w:r w:rsidR="00621810">
        <w:t>’s continuing operations</w:t>
      </w:r>
      <w:r w:rsidRPr="00FF2EC9">
        <w:t>. As compensation for these services</w:t>
      </w:r>
      <w:r w:rsidRPr="00DD7DAE">
        <w:t>, LICT received fee</w:t>
      </w:r>
      <w:r w:rsidR="002748D3" w:rsidRPr="00DD7DAE">
        <w:t>s of $</w:t>
      </w:r>
      <w:r w:rsidR="00CF2829" w:rsidRPr="00DD7DAE">
        <w:t>3</w:t>
      </w:r>
      <w:r w:rsidR="00DD7DAE" w:rsidRPr="00DD7DAE">
        <w:t>2</w:t>
      </w:r>
      <w:r w:rsidR="002E6992" w:rsidRPr="00DD7DAE">
        <w:t xml:space="preserve">,000 </w:t>
      </w:r>
      <w:r w:rsidR="00904ADB" w:rsidRPr="00DD7DAE">
        <w:t xml:space="preserve">for </w:t>
      </w:r>
      <w:r w:rsidRPr="00DD7DAE">
        <w:t xml:space="preserve">the </w:t>
      </w:r>
      <w:r w:rsidR="00255DE6">
        <w:t>three</w:t>
      </w:r>
      <w:r w:rsidR="00CF2829" w:rsidRPr="00DD7DAE">
        <w:t xml:space="preserve"> </w:t>
      </w:r>
      <w:r w:rsidR="002E6992" w:rsidRPr="00DD7DAE">
        <w:t>m</w:t>
      </w:r>
      <w:r w:rsidR="00CF2829" w:rsidRPr="00DD7DAE">
        <w:t xml:space="preserve">onths </w:t>
      </w:r>
      <w:r w:rsidR="002E6992" w:rsidRPr="00DD7DAE">
        <w:t>e</w:t>
      </w:r>
      <w:r w:rsidR="00CF2829" w:rsidRPr="00DD7DAE">
        <w:t xml:space="preserve">nded </w:t>
      </w:r>
      <w:r w:rsidR="00255DE6">
        <w:t>September</w:t>
      </w:r>
      <w:r w:rsidR="00DF0A4D" w:rsidRPr="00DD7DAE">
        <w:t xml:space="preserve"> 3</w:t>
      </w:r>
      <w:r w:rsidR="007B34F2" w:rsidRPr="00DD7DAE">
        <w:t>0</w:t>
      </w:r>
      <w:r w:rsidR="00AF4271" w:rsidRPr="00DD7DAE">
        <w:t xml:space="preserve">, </w:t>
      </w:r>
      <w:r w:rsidR="009F5340" w:rsidRPr="00DD7DAE">
        <w:t>2021,</w:t>
      </w:r>
      <w:r w:rsidR="00CB6954" w:rsidRPr="00DD7DAE">
        <w:t xml:space="preserve"> </w:t>
      </w:r>
      <w:r w:rsidR="00CF2829" w:rsidRPr="00DD7DAE">
        <w:t>and 20</w:t>
      </w:r>
      <w:r w:rsidR="00572EB0" w:rsidRPr="00DD7DAE">
        <w:t>20</w:t>
      </w:r>
      <w:r w:rsidR="00496D25" w:rsidRPr="00DD7DAE">
        <w:t>, respectively</w:t>
      </w:r>
      <w:proofErr w:type="gramStart"/>
      <w:r w:rsidRPr="00DD7DAE">
        <w:t>.</w:t>
      </w:r>
      <w:r w:rsidRPr="00FF2EC9">
        <w:t xml:space="preserve">  </w:t>
      </w:r>
      <w:proofErr w:type="gramEnd"/>
    </w:p>
    <w:p w14:paraId="1C84059E" w14:textId="77777777" w:rsidR="00206116" w:rsidRPr="00FF2EC9" w:rsidRDefault="00206116" w:rsidP="00206116">
      <w:pPr>
        <w:tabs>
          <w:tab w:val="left" w:pos="720"/>
        </w:tabs>
        <w:autoSpaceDE/>
        <w:autoSpaceDN/>
        <w:adjustRightInd/>
        <w:ind w:left="720"/>
        <w:jc w:val="both"/>
      </w:pPr>
    </w:p>
    <w:p w14:paraId="0FD84F53" w14:textId="67D9ACCF" w:rsidR="00206116" w:rsidRPr="00FF2EC9" w:rsidRDefault="00706243" w:rsidP="00206116">
      <w:pPr>
        <w:tabs>
          <w:tab w:val="left" w:pos="720"/>
        </w:tabs>
        <w:autoSpaceDE/>
        <w:autoSpaceDN/>
        <w:adjustRightInd/>
        <w:ind w:left="720"/>
        <w:jc w:val="both"/>
      </w:pPr>
      <w:r w:rsidRPr="00CE18F4">
        <w:t>A</w:t>
      </w:r>
      <w:r>
        <w:t>s of September</w:t>
      </w:r>
      <w:r w:rsidRPr="00A4160D">
        <w:t xml:space="preserve"> 30, 2021, December </w:t>
      </w:r>
      <w:r w:rsidRPr="000D11A0">
        <w:t xml:space="preserve">31, 2020, and September 30, 2020, the money market mutual fund had values </w:t>
      </w:r>
      <w:r w:rsidRPr="00EE2E9D">
        <w:t xml:space="preserve">of $962,000, </w:t>
      </w:r>
      <w:r w:rsidR="00580F82" w:rsidRPr="00EE2E9D">
        <w:t>$8,419,000,</w:t>
      </w:r>
      <w:r w:rsidRPr="000D11A0">
        <w:t xml:space="preserve"> and $</w:t>
      </w:r>
      <w:r>
        <w:t>9,075</w:t>
      </w:r>
      <w:r w:rsidRPr="000D11A0">
        <w:t>,000</w:t>
      </w:r>
      <w:r>
        <w:t xml:space="preserve"> </w:t>
      </w:r>
      <w:r w:rsidRPr="000D11A0">
        <w:t>respectively</w:t>
      </w:r>
      <w:r w:rsidR="006E358A">
        <w:t>.</w:t>
      </w:r>
    </w:p>
    <w:p w14:paraId="7867DD38" w14:textId="77777777" w:rsidR="00206116" w:rsidRPr="00FF2EC9" w:rsidRDefault="00206116" w:rsidP="00206116">
      <w:pPr>
        <w:tabs>
          <w:tab w:val="left" w:pos="720"/>
        </w:tabs>
        <w:autoSpaceDE/>
        <w:autoSpaceDN/>
        <w:adjustRightInd/>
        <w:ind w:left="720"/>
        <w:jc w:val="center"/>
      </w:pPr>
    </w:p>
    <w:p w14:paraId="18684D70" w14:textId="77777777" w:rsidR="00B57D3B" w:rsidRPr="00FF2EC9" w:rsidRDefault="00206116" w:rsidP="00206116">
      <w:pPr>
        <w:keepNext/>
        <w:autoSpaceDE/>
        <w:autoSpaceDN/>
        <w:adjustRightInd/>
        <w:ind w:left="720" w:right="14"/>
        <w:jc w:val="both"/>
        <w:rPr>
          <w:b/>
          <w:bCs/>
        </w:rPr>
      </w:pPr>
      <w:r w:rsidRPr="00FF2EC9">
        <w:rPr>
          <w:b/>
          <w:bCs/>
        </w:rPr>
        <w:tab/>
      </w:r>
    </w:p>
    <w:p w14:paraId="439EA4C8" w14:textId="7A473279" w:rsidR="00206116" w:rsidRPr="00FF2EC9" w:rsidRDefault="00206116" w:rsidP="00206116">
      <w:pPr>
        <w:keepNext/>
        <w:autoSpaceDE/>
        <w:autoSpaceDN/>
        <w:adjustRightInd/>
        <w:ind w:left="720" w:right="14"/>
        <w:jc w:val="both"/>
        <w:rPr>
          <w:b/>
          <w:bCs/>
        </w:rPr>
      </w:pPr>
    </w:p>
    <w:p w14:paraId="382454D0" w14:textId="77777777" w:rsidR="00206116" w:rsidRPr="00FF2EC9" w:rsidRDefault="00206116" w:rsidP="00206116">
      <w:pPr>
        <w:tabs>
          <w:tab w:val="left" w:pos="720"/>
        </w:tabs>
        <w:autoSpaceDE/>
        <w:autoSpaceDN/>
        <w:adjustRightInd/>
        <w:ind w:left="720"/>
        <w:jc w:val="center"/>
      </w:pPr>
      <w:r w:rsidRPr="00FF2EC9">
        <w:t>* * * * *</w:t>
      </w:r>
    </w:p>
    <w:p w14:paraId="64D68654" w14:textId="77777777" w:rsidR="00206116" w:rsidRPr="00FF2EC9" w:rsidRDefault="00206116" w:rsidP="00206116">
      <w:pPr>
        <w:tabs>
          <w:tab w:val="left" w:pos="720"/>
        </w:tabs>
        <w:autoSpaceDE/>
        <w:autoSpaceDN/>
        <w:adjustRightInd/>
        <w:ind w:left="720"/>
        <w:jc w:val="center"/>
      </w:pPr>
    </w:p>
    <w:p w14:paraId="4349843A" w14:textId="77777777" w:rsidR="00206116" w:rsidRPr="00FF2EC9" w:rsidRDefault="00206116" w:rsidP="007E77D5">
      <w:pPr>
        <w:tabs>
          <w:tab w:val="left" w:pos="720"/>
        </w:tabs>
        <w:autoSpaceDE/>
        <w:autoSpaceDN/>
        <w:adjustRightInd/>
      </w:pPr>
    </w:p>
    <w:sectPr w:rsidR="00206116" w:rsidRPr="00FF2EC9" w:rsidSect="007E77D5">
      <w:headerReference w:type="even" r:id="rId16"/>
      <w:headerReference w:type="default" r:id="rId17"/>
      <w:footerReference w:type="even" r:id="rId18"/>
      <w:footerReference w:type="default" r:id="rId19"/>
      <w:headerReference w:type="first" r:id="rId20"/>
      <w:footerReference w:type="first" r:id="rId21"/>
      <w:pgSz w:w="12240" w:h="15840" w:code="1"/>
      <w:pgMar w:top="720" w:right="1440" w:bottom="1440" w:left="1440" w:header="936" w:footer="432" w:gutter="0"/>
      <w:pgNumType w:fmt="upperRoma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1015" w14:textId="77777777" w:rsidR="00A31844" w:rsidRDefault="00A31844" w:rsidP="00417E8B">
      <w:r>
        <w:separator/>
      </w:r>
    </w:p>
  </w:endnote>
  <w:endnote w:type="continuationSeparator" w:id="0">
    <w:p w14:paraId="31CAE541" w14:textId="77777777" w:rsidR="00A31844" w:rsidRDefault="00A31844" w:rsidP="0041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980552"/>
      <w:docPartObj>
        <w:docPartGallery w:val="Page Numbers (Bottom of Page)"/>
        <w:docPartUnique/>
      </w:docPartObj>
    </w:sdtPr>
    <w:sdtEndPr>
      <w:rPr>
        <w:noProof/>
      </w:rPr>
    </w:sdtEndPr>
    <w:sdtContent>
      <w:p w14:paraId="1CEC551B" w14:textId="08D3D6D0" w:rsidR="00CE5D9B" w:rsidRDefault="00CE5D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49918F" w14:textId="0492B991" w:rsidR="00CE5D9B" w:rsidRDefault="00CE5D9B" w:rsidP="00F9250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636180"/>
      <w:docPartObj>
        <w:docPartGallery w:val="Page Numbers (Bottom of Page)"/>
        <w:docPartUnique/>
      </w:docPartObj>
    </w:sdtPr>
    <w:sdtEndPr>
      <w:rPr>
        <w:noProof/>
      </w:rPr>
    </w:sdtEndPr>
    <w:sdtContent>
      <w:p w14:paraId="259EEB1C" w14:textId="77777777" w:rsidR="00CE5D9B" w:rsidRDefault="00CE5D9B">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14:paraId="5CAE4938" w14:textId="77777777" w:rsidR="00CE5D9B" w:rsidRDefault="00CE5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638091"/>
      <w:docPartObj>
        <w:docPartGallery w:val="Page Numbers (Bottom of Page)"/>
        <w:docPartUnique/>
      </w:docPartObj>
    </w:sdtPr>
    <w:sdtEndPr>
      <w:rPr>
        <w:noProof/>
      </w:rPr>
    </w:sdtEndPr>
    <w:sdtContent>
      <w:p w14:paraId="0517AFB8" w14:textId="77777777" w:rsidR="00CE5D9B" w:rsidRDefault="00CE5D9B">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14:paraId="78BCD74B" w14:textId="77777777" w:rsidR="00CE5D9B" w:rsidRDefault="00CE5D9B" w:rsidP="002E3F2D">
    <w:pPr>
      <w:pStyle w:val="Footer"/>
      <w:tabs>
        <w:tab w:val="left" w:pos="456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D3D1" w14:textId="77777777" w:rsidR="00CE5D9B" w:rsidRDefault="00CE5D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928625"/>
      <w:docPartObj>
        <w:docPartGallery w:val="Page Numbers (Bottom of Page)"/>
        <w:docPartUnique/>
      </w:docPartObj>
    </w:sdtPr>
    <w:sdtEndPr>
      <w:rPr>
        <w:noProof/>
      </w:rPr>
    </w:sdtEndPr>
    <w:sdtContent>
      <w:p w14:paraId="75B6874A" w14:textId="77777777" w:rsidR="00CE5D9B" w:rsidRDefault="00CE5D9B">
        <w:pPr>
          <w:pStyle w:val="Footer"/>
          <w:jc w:val="center"/>
        </w:pPr>
        <w:r>
          <w:fldChar w:fldCharType="begin"/>
        </w:r>
        <w:r>
          <w:instrText xml:space="preserve"> PAGE   \* MERGEFORMAT </w:instrText>
        </w:r>
        <w:r>
          <w:fldChar w:fldCharType="separate"/>
        </w:r>
        <w:r>
          <w:rPr>
            <w:noProof/>
          </w:rPr>
          <w:t>XVIII</w:t>
        </w:r>
        <w:r>
          <w:rPr>
            <w:noProof/>
          </w:rPr>
          <w:fldChar w:fldCharType="end"/>
        </w:r>
      </w:p>
    </w:sdtContent>
  </w:sdt>
  <w:p w14:paraId="76710742" w14:textId="77777777" w:rsidR="00CE5D9B" w:rsidRDefault="00CE5D9B" w:rsidP="002E3F2D">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1023" w14:textId="77777777" w:rsidR="00CE5D9B" w:rsidRPr="00A870EC" w:rsidRDefault="00CE5D9B">
    <w:pPr>
      <w:pStyle w:val="Footer"/>
      <w:jc w:val="center"/>
      <w:rPr>
        <w:rFonts w:ascii="Arial" w:hAnsi="Arial" w:cs="Arial"/>
        <w:sz w:val="22"/>
        <w:szCs w:val="22"/>
      </w:rPr>
    </w:pPr>
    <w:r w:rsidRPr="00A870EC">
      <w:rPr>
        <w:rFonts w:ascii="Arial" w:hAnsi="Arial" w:cs="Arial"/>
        <w:sz w:val="22"/>
        <w:szCs w:val="22"/>
      </w:rPr>
      <w:fldChar w:fldCharType="begin"/>
    </w:r>
    <w:r w:rsidRPr="00A870EC">
      <w:rPr>
        <w:rFonts w:ascii="Arial" w:hAnsi="Arial" w:cs="Arial"/>
        <w:sz w:val="22"/>
        <w:szCs w:val="22"/>
      </w:rPr>
      <w:instrText xml:space="preserve"> PAGE   \* MERGEFORMAT </w:instrText>
    </w:r>
    <w:r w:rsidRPr="00A870EC">
      <w:rPr>
        <w:rFonts w:ascii="Arial" w:hAnsi="Arial" w:cs="Arial"/>
        <w:sz w:val="22"/>
        <w:szCs w:val="22"/>
      </w:rPr>
      <w:fldChar w:fldCharType="separate"/>
    </w:r>
    <w:r>
      <w:rPr>
        <w:rFonts w:ascii="Arial" w:hAnsi="Arial" w:cs="Arial"/>
        <w:noProof/>
        <w:sz w:val="22"/>
        <w:szCs w:val="22"/>
      </w:rPr>
      <w:t>6</w:t>
    </w:r>
    <w:r w:rsidRPr="00A870EC">
      <w:rPr>
        <w:rFonts w:ascii="Arial" w:hAnsi="Arial" w:cs="Arial"/>
        <w:sz w:val="22"/>
        <w:szCs w:val="22"/>
      </w:rPr>
      <w:fldChar w:fldCharType="end"/>
    </w:r>
  </w:p>
  <w:p w14:paraId="0BC9E470" w14:textId="77777777" w:rsidR="00CE5D9B" w:rsidRDefault="00CE5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EDE3E" w14:textId="77777777" w:rsidR="00A31844" w:rsidRDefault="00A31844" w:rsidP="00417E8B">
      <w:r>
        <w:separator/>
      </w:r>
    </w:p>
  </w:footnote>
  <w:footnote w:type="continuationSeparator" w:id="0">
    <w:p w14:paraId="5D927C8B" w14:textId="77777777" w:rsidR="00A31844" w:rsidRDefault="00A31844" w:rsidP="0041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85EA" w14:textId="6B7DC8BC" w:rsidR="00CE5D9B" w:rsidRPr="009C7007" w:rsidRDefault="00CE5D9B" w:rsidP="00F92504">
    <w:pPr>
      <w:pStyle w:val="Header"/>
      <w:tabs>
        <w:tab w:val="left" w:pos="3180"/>
        <w:tab w:val="center" w:pos="4680"/>
        <w:tab w:val="left" w:pos="6696"/>
        <w:tab w:val="left" w:pos="7488"/>
      </w:tabs>
    </w:pPr>
    <w:r>
      <w:rPr>
        <w:b/>
      </w:rPr>
      <w:tab/>
    </w:r>
    <w:r>
      <w:rPr>
        <w:b/>
      </w:rPr>
      <w:tab/>
    </w:r>
  </w:p>
  <w:p w14:paraId="72197D3C" w14:textId="77777777" w:rsidR="00CE5D9B" w:rsidRPr="00EC7E2C" w:rsidRDefault="00CE5D9B" w:rsidP="00EC7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948" w14:textId="77777777" w:rsidR="00CE5D9B" w:rsidRPr="009C7007" w:rsidRDefault="00CE5D9B" w:rsidP="002E3F2D">
    <w:pPr>
      <w:pStyle w:val="Header"/>
      <w:jc w:val="center"/>
      <w:rPr>
        <w:b/>
      </w:rPr>
    </w:pPr>
    <w:r w:rsidRPr="009C7007">
      <w:rPr>
        <w:b/>
      </w:rPr>
      <w:t>CIBL, Inc. and Subsidiaries</w:t>
    </w:r>
  </w:p>
  <w:p w14:paraId="34EB6181" w14:textId="2ECEF3F9" w:rsidR="00CE5D9B" w:rsidRPr="009C7007" w:rsidRDefault="00CE5D9B" w:rsidP="002E3F2D">
    <w:pPr>
      <w:jc w:val="center"/>
    </w:pPr>
    <w:r w:rsidRPr="009C7007">
      <w:t>Consolidated Statements of Cash Flows</w:t>
    </w:r>
    <w:r>
      <w:t xml:space="preserve"> (Unaudited) </w:t>
    </w:r>
  </w:p>
  <w:p w14:paraId="45085D3E" w14:textId="77777777" w:rsidR="00CE5D9B" w:rsidRPr="00F71D68" w:rsidRDefault="00CE5D9B" w:rsidP="002E3F2D">
    <w:pPr>
      <w:jc w:val="center"/>
      <w:rPr>
        <w:i/>
        <w:iCs/>
      </w:rPr>
    </w:pPr>
    <w:r w:rsidRPr="00F71D68">
      <w:rPr>
        <w:i/>
        <w:iCs/>
      </w:rPr>
      <w:t>(In Thousands, Except Common Share Data)</w:t>
    </w:r>
  </w:p>
  <w:p w14:paraId="6CEDE305" w14:textId="77777777" w:rsidR="00CE5D9B" w:rsidRPr="00E23698" w:rsidRDefault="00CE5D9B" w:rsidP="002E3F2D">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7EFA" w14:textId="77777777" w:rsidR="00CE5D9B" w:rsidRPr="009C7007" w:rsidRDefault="00CE5D9B" w:rsidP="002E3F2D">
    <w:pPr>
      <w:pStyle w:val="Header"/>
      <w:tabs>
        <w:tab w:val="left" w:pos="3180"/>
      </w:tabs>
      <w:jc w:val="center"/>
      <w:rPr>
        <w:b/>
      </w:rPr>
    </w:pPr>
    <w:r w:rsidRPr="009C7007">
      <w:rPr>
        <w:b/>
      </w:rPr>
      <w:t>CIBL, Inc. and Subsidiaries</w:t>
    </w:r>
  </w:p>
  <w:p w14:paraId="10C74A83" w14:textId="3076D676" w:rsidR="00CE5D9B" w:rsidRPr="009C7007" w:rsidRDefault="00CE5D9B" w:rsidP="002E3F2D">
    <w:pPr>
      <w:jc w:val="center"/>
    </w:pPr>
    <w:r w:rsidRPr="009C7007">
      <w:t>Consolidated Statements of</w:t>
    </w:r>
    <w:r>
      <w:t xml:space="preserve"> Income and Comprehensive Income (Unaudited) </w:t>
    </w:r>
  </w:p>
  <w:p w14:paraId="488249A6" w14:textId="77777777" w:rsidR="00CE5D9B" w:rsidRPr="00F71D68" w:rsidRDefault="00CE5D9B" w:rsidP="002E3F2D">
    <w:pPr>
      <w:jc w:val="center"/>
      <w:rPr>
        <w:i/>
        <w:iCs/>
      </w:rPr>
    </w:pPr>
    <w:r w:rsidRPr="00F71D68">
      <w:rPr>
        <w:i/>
        <w:iCs/>
      </w:rPr>
      <w:t xml:space="preserve"> (In Thousands, Except Common Share Data)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3C89" w14:textId="77777777" w:rsidR="00CE5D9B" w:rsidRPr="009C7007" w:rsidRDefault="00CE5D9B" w:rsidP="002E3F2D">
    <w:pPr>
      <w:pStyle w:val="Header"/>
      <w:tabs>
        <w:tab w:val="left" w:pos="3180"/>
      </w:tabs>
      <w:jc w:val="center"/>
      <w:rPr>
        <w:b/>
      </w:rPr>
    </w:pPr>
    <w:r w:rsidRPr="009C7007">
      <w:rPr>
        <w:b/>
      </w:rPr>
      <w:t>CIBL, Inc. and Subsidiaries</w:t>
    </w:r>
  </w:p>
  <w:p w14:paraId="71375F35" w14:textId="2A2B0124" w:rsidR="00CE5D9B" w:rsidRPr="009C7007" w:rsidRDefault="00CE5D9B" w:rsidP="002E3F2D">
    <w:pPr>
      <w:jc w:val="center"/>
    </w:pPr>
    <w:r w:rsidRPr="009C7007">
      <w:t xml:space="preserve">Consolidated Statements of </w:t>
    </w:r>
    <w:r>
      <w:t>Changes in Equity (Unaudited)</w:t>
    </w:r>
  </w:p>
  <w:p w14:paraId="744C75CD" w14:textId="77777777" w:rsidR="00CE5D9B" w:rsidRPr="00F71D68" w:rsidRDefault="00CE5D9B" w:rsidP="002E3F2D">
    <w:pPr>
      <w:jc w:val="center"/>
      <w:rPr>
        <w:i/>
        <w:iCs/>
      </w:rPr>
    </w:pPr>
    <w:r w:rsidRPr="00F71D68">
      <w:rPr>
        <w:i/>
        <w:iCs/>
      </w:rPr>
      <w:t xml:space="preserve"> (In Thousands, Except Common Share Data)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D49" w14:textId="77777777" w:rsidR="00CE5D9B" w:rsidRDefault="00CE5D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4E28" w14:textId="77777777" w:rsidR="00CE5D9B" w:rsidRDefault="00CE5D9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593D" w14:textId="18D59CA4" w:rsidR="00CE5D9B" w:rsidRPr="006772F5" w:rsidRDefault="00CE5D9B" w:rsidP="002E3F2D">
    <w:pPr>
      <w:pStyle w:val="Header"/>
      <w:jc w:val="center"/>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DOCPROPERTY PJNAME \* MERGEFORMAT </w:instrText>
    </w:r>
    <w:r>
      <w:rPr>
        <w:rFonts w:ascii="Arial" w:hAnsi="Arial" w:cs="Arial"/>
        <w:b/>
        <w:sz w:val="22"/>
        <w:szCs w:val="22"/>
      </w:rPr>
      <w:fldChar w:fldCharType="separate"/>
    </w:r>
    <w:r w:rsidR="00023E8D">
      <w:rPr>
        <w:rFonts w:ascii="Arial" w:hAnsi="Arial" w:cs="Arial"/>
        <w:bCs/>
        <w:sz w:val="22"/>
        <w:szCs w:val="22"/>
      </w:rPr>
      <w:t>Error! Unknown document property name.</w:t>
    </w:r>
    <w:r>
      <w:rPr>
        <w:rFonts w:ascii="Arial" w:hAnsi="Arial" w:cs="Arial"/>
        <w:b/>
        <w:sz w:val="22"/>
        <w:szCs w:val="22"/>
      </w:rPr>
      <w:fldChar w:fldCharType="end"/>
    </w:r>
    <w:r>
      <w:rPr>
        <w:rFonts w:ascii="Arial" w:hAnsi="Arial" w:cs="Arial"/>
        <w:b/>
        <w:sz w:val="22"/>
        <w:szCs w:val="22"/>
      </w:rPr>
      <w:t xml:space="preserve"> </w:t>
    </w:r>
    <w:r w:rsidRPr="006772F5">
      <w:rPr>
        <w:rFonts w:ascii="Arial" w:hAnsi="Arial" w:cs="Arial"/>
        <w:b/>
        <w:sz w:val="22"/>
        <w:szCs w:val="22"/>
      </w:rPr>
      <w:t>and Subsidiaries</w:t>
    </w:r>
  </w:p>
  <w:p w14:paraId="7AB73733" w14:textId="77777777" w:rsidR="00CE5D9B" w:rsidRPr="006772F5" w:rsidRDefault="00CE5D9B" w:rsidP="002E3F2D">
    <w:pPr>
      <w:jc w:val="center"/>
      <w:rPr>
        <w:rFonts w:ascii="Arial" w:hAnsi="Arial" w:cs="Arial"/>
        <w:sz w:val="22"/>
        <w:szCs w:val="22"/>
      </w:rPr>
    </w:pPr>
    <w:r w:rsidRPr="006772F5">
      <w:rPr>
        <w:rFonts w:ascii="Arial" w:hAnsi="Arial" w:cs="Arial"/>
        <w:sz w:val="22"/>
        <w:szCs w:val="22"/>
      </w:rPr>
      <w:t>(In Thousands)</w:t>
    </w:r>
  </w:p>
  <w:p w14:paraId="61CD88A7" w14:textId="77777777" w:rsidR="00CE5D9B" w:rsidRPr="006772F5" w:rsidRDefault="00CE5D9B" w:rsidP="002E3F2D">
    <w:pPr>
      <w:jc w:val="center"/>
      <w:rPr>
        <w:rFonts w:ascii="Arial" w:hAnsi="Arial" w:cs="Arial"/>
        <w:sz w:val="22"/>
        <w:szCs w:val="22"/>
      </w:rPr>
    </w:pPr>
  </w:p>
  <w:p w14:paraId="25004E0E" w14:textId="77777777" w:rsidR="00CE5D9B" w:rsidRDefault="00CE5D9B" w:rsidP="002E3F2D">
    <w:pPr>
      <w:jc w:val="center"/>
      <w:rPr>
        <w:rFonts w:ascii="Arial" w:hAnsi="Arial" w:cs="Arial"/>
        <w:sz w:val="22"/>
        <w:szCs w:val="22"/>
      </w:rPr>
    </w:pPr>
    <w:r w:rsidRPr="006772F5">
      <w:rPr>
        <w:rFonts w:ascii="Arial" w:hAnsi="Arial" w:cs="Arial"/>
        <w:sz w:val="22"/>
        <w:szCs w:val="22"/>
      </w:rPr>
      <w:t>Notes to Consolidated Financial Statements</w:t>
    </w:r>
  </w:p>
  <w:p w14:paraId="17BF2B55" w14:textId="56BD9264" w:rsidR="00CE5D9B" w:rsidRPr="006772F5" w:rsidRDefault="00CE5D9B" w:rsidP="002E3F2D">
    <w:pPr>
      <w:jc w:val="cente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DOCPROPERTY CYEDATE \* MERGEFORMAT </w:instrText>
    </w:r>
    <w:r>
      <w:rPr>
        <w:rFonts w:ascii="Arial" w:hAnsi="Arial" w:cs="Arial"/>
        <w:sz w:val="22"/>
        <w:szCs w:val="22"/>
      </w:rPr>
      <w:fldChar w:fldCharType="separate"/>
    </w:r>
    <w:r w:rsidR="00023E8D">
      <w:rPr>
        <w:rFonts w:ascii="Arial" w:hAnsi="Arial" w:cs="Arial"/>
        <w:b/>
        <w:bCs/>
        <w:sz w:val="22"/>
        <w:szCs w:val="22"/>
      </w:rPr>
      <w:t>Error! Unknown document property name.</w:t>
    </w:r>
    <w:r>
      <w:rPr>
        <w:rFonts w:ascii="Arial" w:hAnsi="Arial" w:cs="Arial"/>
        <w:sz w:val="22"/>
        <w:szCs w:val="22"/>
      </w:rPr>
      <w:fldChar w:fldCharType="end"/>
    </w:r>
  </w:p>
  <w:p w14:paraId="1BEE10DB" w14:textId="77777777" w:rsidR="00CE5D9B" w:rsidRPr="0098253E" w:rsidRDefault="00CE5D9B" w:rsidP="002E3F2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60FE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630A134"/>
    <w:lvl w:ilvl="0">
      <w:numFmt w:val="decimal"/>
      <w:lvlText w:val="*"/>
      <w:lvlJc w:val="left"/>
    </w:lvl>
  </w:abstractNum>
  <w:abstractNum w:abstractNumId="2" w15:restartNumberingAfterBreak="0">
    <w:nsid w:val="00D50C3F"/>
    <w:multiLevelType w:val="hybridMultilevel"/>
    <w:tmpl w:val="1884C71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 w15:restartNumberingAfterBreak="0">
    <w:nsid w:val="03FE61AF"/>
    <w:multiLevelType w:val="hybridMultilevel"/>
    <w:tmpl w:val="B6E86A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337D13"/>
    <w:multiLevelType w:val="hybridMultilevel"/>
    <w:tmpl w:val="2F6483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522C1D"/>
    <w:multiLevelType w:val="hybridMultilevel"/>
    <w:tmpl w:val="742428B8"/>
    <w:lvl w:ilvl="0" w:tplc="A9D6F14E">
      <w:start w:val="1"/>
      <w:numFmt w:val="decimal"/>
      <w:pStyle w:val="B2NotesNumbering"/>
      <w:lvlText w:val="Note %1 - "/>
      <w:lvlJc w:val="left"/>
      <w:pPr>
        <w:ind w:left="360" w:hanging="360"/>
      </w:pPr>
      <w:rPr>
        <w:b/>
        <w:i w:val="0"/>
        <w:caps w:val="0"/>
        <w:sz w:val="24"/>
      </w:rPr>
    </w:lvl>
    <w:lvl w:ilvl="1" w:tplc="04090019">
      <w:start w:val="1"/>
      <w:numFmt w:val="lowerLetter"/>
      <w:lvlText w:val="%2."/>
      <w:lvlJc w:val="left"/>
      <w:pPr>
        <w:ind w:left="-3420" w:hanging="360"/>
      </w:pPr>
    </w:lvl>
    <w:lvl w:ilvl="2" w:tplc="0409001B">
      <w:start w:val="1"/>
      <w:numFmt w:val="lowerRoman"/>
      <w:lvlText w:val="%3."/>
      <w:lvlJc w:val="right"/>
      <w:pPr>
        <w:ind w:left="-2700" w:hanging="180"/>
      </w:pPr>
    </w:lvl>
    <w:lvl w:ilvl="3" w:tplc="0409000F">
      <w:start w:val="1"/>
      <w:numFmt w:val="decimal"/>
      <w:lvlText w:val="%4."/>
      <w:lvlJc w:val="left"/>
      <w:pPr>
        <w:ind w:left="-1980" w:hanging="360"/>
      </w:pPr>
    </w:lvl>
    <w:lvl w:ilvl="4" w:tplc="04090019">
      <w:start w:val="1"/>
      <w:numFmt w:val="lowerLetter"/>
      <w:lvlText w:val="%5."/>
      <w:lvlJc w:val="left"/>
      <w:pPr>
        <w:ind w:left="-1260" w:hanging="360"/>
      </w:pPr>
    </w:lvl>
    <w:lvl w:ilvl="5" w:tplc="0409001B">
      <w:start w:val="1"/>
      <w:numFmt w:val="lowerRoman"/>
      <w:lvlText w:val="%6."/>
      <w:lvlJc w:val="right"/>
      <w:pPr>
        <w:ind w:left="-540" w:hanging="180"/>
      </w:pPr>
    </w:lvl>
    <w:lvl w:ilvl="6" w:tplc="0409000F">
      <w:start w:val="1"/>
      <w:numFmt w:val="decimal"/>
      <w:lvlText w:val="%7."/>
      <w:lvlJc w:val="left"/>
      <w:pPr>
        <w:ind w:left="180" w:hanging="360"/>
      </w:pPr>
    </w:lvl>
    <w:lvl w:ilvl="7" w:tplc="04090019">
      <w:start w:val="1"/>
      <w:numFmt w:val="lowerLetter"/>
      <w:lvlText w:val="%8."/>
      <w:lvlJc w:val="left"/>
      <w:pPr>
        <w:ind w:left="900" w:hanging="360"/>
      </w:pPr>
    </w:lvl>
    <w:lvl w:ilvl="8" w:tplc="0409001B">
      <w:start w:val="1"/>
      <w:numFmt w:val="lowerRoman"/>
      <w:lvlText w:val="%9."/>
      <w:lvlJc w:val="right"/>
      <w:pPr>
        <w:ind w:left="1620" w:hanging="180"/>
      </w:pPr>
    </w:lvl>
  </w:abstractNum>
  <w:abstractNum w:abstractNumId="6" w15:restartNumberingAfterBreak="0">
    <w:nsid w:val="0EA869FB"/>
    <w:multiLevelType w:val="hybridMultilevel"/>
    <w:tmpl w:val="0FBE520C"/>
    <w:lvl w:ilvl="0" w:tplc="7EC6F498">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59104A4"/>
    <w:multiLevelType w:val="hybridMultilevel"/>
    <w:tmpl w:val="85487F6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6D78CF"/>
    <w:multiLevelType w:val="hybridMultilevel"/>
    <w:tmpl w:val="EDF8CF60"/>
    <w:lvl w:ilvl="0" w:tplc="CE7622F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7F64F9"/>
    <w:multiLevelType w:val="hybridMultilevel"/>
    <w:tmpl w:val="E55C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D908D3"/>
    <w:multiLevelType w:val="hybridMultilevel"/>
    <w:tmpl w:val="C15C8C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36648F"/>
    <w:multiLevelType w:val="hybridMultilevel"/>
    <w:tmpl w:val="8C2CDC5C"/>
    <w:lvl w:ilvl="0" w:tplc="5B9CE406">
      <w:start w:val="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B84B15"/>
    <w:multiLevelType w:val="hybridMultilevel"/>
    <w:tmpl w:val="AE7C404E"/>
    <w:lvl w:ilvl="0" w:tplc="629A359E">
      <w:start w:val="1"/>
      <w:numFmt w:val="lowerLetter"/>
      <w:lvlText w:val="(%1)"/>
      <w:lvlJc w:val="left"/>
      <w:pPr>
        <w:ind w:left="1080" w:hanging="360"/>
      </w:pPr>
      <w:rPr>
        <w:rFonts w:hint="default"/>
        <w:b/>
        <w:bCs/>
        <w:color w:val="000000"/>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3C2483"/>
    <w:multiLevelType w:val="hybridMultilevel"/>
    <w:tmpl w:val="3B26A43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0C5B49"/>
    <w:multiLevelType w:val="hybridMultilevel"/>
    <w:tmpl w:val="6EAE73E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2EEA7632"/>
    <w:multiLevelType w:val="hybridMultilevel"/>
    <w:tmpl w:val="8026B554"/>
    <w:lvl w:ilvl="0" w:tplc="53E019F0">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12080F"/>
    <w:multiLevelType w:val="hybridMultilevel"/>
    <w:tmpl w:val="8A28BFA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9E77B2"/>
    <w:multiLevelType w:val="hybridMultilevel"/>
    <w:tmpl w:val="996C6476"/>
    <w:lvl w:ilvl="0" w:tplc="6E52A86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AB4453C"/>
    <w:multiLevelType w:val="hybridMultilevel"/>
    <w:tmpl w:val="A3DCC7DC"/>
    <w:lvl w:ilvl="0" w:tplc="04090001">
      <w:start w:val="1"/>
      <w:numFmt w:val="bullet"/>
      <w:lvlText w:val=""/>
      <w:lvlJc w:val="left"/>
      <w:pPr>
        <w:ind w:left="924" w:hanging="360"/>
      </w:pPr>
      <w:rPr>
        <w:rFonts w:ascii="Symbol" w:hAnsi="Symbol" w:hint="default"/>
      </w:rPr>
    </w:lvl>
    <w:lvl w:ilvl="1" w:tplc="04090003">
      <w:start w:val="1"/>
      <w:numFmt w:val="bullet"/>
      <w:lvlText w:val="o"/>
      <w:lvlJc w:val="left"/>
      <w:pPr>
        <w:ind w:left="1644" w:hanging="360"/>
      </w:pPr>
      <w:rPr>
        <w:rFonts w:ascii="Courier New" w:hAnsi="Courier New" w:cs="Courier New" w:hint="default"/>
      </w:rPr>
    </w:lvl>
    <w:lvl w:ilvl="2" w:tplc="04090005">
      <w:start w:val="1"/>
      <w:numFmt w:val="bullet"/>
      <w:lvlText w:val=""/>
      <w:lvlJc w:val="left"/>
      <w:pPr>
        <w:ind w:left="2364" w:hanging="360"/>
      </w:pPr>
      <w:rPr>
        <w:rFonts w:ascii="Wingdings" w:hAnsi="Wingdings" w:hint="default"/>
      </w:rPr>
    </w:lvl>
    <w:lvl w:ilvl="3" w:tplc="04090001">
      <w:start w:val="1"/>
      <w:numFmt w:val="bullet"/>
      <w:lvlText w:val=""/>
      <w:lvlJc w:val="left"/>
      <w:pPr>
        <w:ind w:left="3084" w:hanging="360"/>
      </w:pPr>
      <w:rPr>
        <w:rFonts w:ascii="Symbol" w:hAnsi="Symbol" w:hint="default"/>
      </w:rPr>
    </w:lvl>
    <w:lvl w:ilvl="4" w:tplc="04090003">
      <w:start w:val="1"/>
      <w:numFmt w:val="bullet"/>
      <w:lvlText w:val="o"/>
      <w:lvlJc w:val="left"/>
      <w:pPr>
        <w:ind w:left="3804" w:hanging="360"/>
      </w:pPr>
      <w:rPr>
        <w:rFonts w:ascii="Courier New" w:hAnsi="Courier New" w:cs="Courier New" w:hint="default"/>
      </w:rPr>
    </w:lvl>
    <w:lvl w:ilvl="5" w:tplc="04090005">
      <w:start w:val="1"/>
      <w:numFmt w:val="bullet"/>
      <w:lvlText w:val=""/>
      <w:lvlJc w:val="left"/>
      <w:pPr>
        <w:ind w:left="4524" w:hanging="360"/>
      </w:pPr>
      <w:rPr>
        <w:rFonts w:ascii="Wingdings" w:hAnsi="Wingdings" w:hint="default"/>
      </w:rPr>
    </w:lvl>
    <w:lvl w:ilvl="6" w:tplc="04090001">
      <w:start w:val="1"/>
      <w:numFmt w:val="bullet"/>
      <w:lvlText w:val=""/>
      <w:lvlJc w:val="left"/>
      <w:pPr>
        <w:ind w:left="5244" w:hanging="360"/>
      </w:pPr>
      <w:rPr>
        <w:rFonts w:ascii="Symbol" w:hAnsi="Symbol" w:hint="default"/>
      </w:rPr>
    </w:lvl>
    <w:lvl w:ilvl="7" w:tplc="04090003">
      <w:start w:val="1"/>
      <w:numFmt w:val="bullet"/>
      <w:lvlText w:val="o"/>
      <w:lvlJc w:val="left"/>
      <w:pPr>
        <w:ind w:left="5964" w:hanging="360"/>
      </w:pPr>
      <w:rPr>
        <w:rFonts w:ascii="Courier New" w:hAnsi="Courier New" w:cs="Courier New" w:hint="default"/>
      </w:rPr>
    </w:lvl>
    <w:lvl w:ilvl="8" w:tplc="04090005">
      <w:start w:val="1"/>
      <w:numFmt w:val="bullet"/>
      <w:lvlText w:val=""/>
      <w:lvlJc w:val="left"/>
      <w:pPr>
        <w:ind w:left="6684" w:hanging="360"/>
      </w:pPr>
      <w:rPr>
        <w:rFonts w:ascii="Wingdings" w:hAnsi="Wingdings" w:hint="default"/>
      </w:rPr>
    </w:lvl>
  </w:abstractNum>
  <w:abstractNum w:abstractNumId="19" w15:restartNumberingAfterBreak="0">
    <w:nsid w:val="407037A8"/>
    <w:multiLevelType w:val="hybridMultilevel"/>
    <w:tmpl w:val="29A05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2C7CEE"/>
    <w:multiLevelType w:val="hybridMultilevel"/>
    <w:tmpl w:val="395840D2"/>
    <w:lvl w:ilvl="0" w:tplc="3B3E32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E67A5D"/>
    <w:multiLevelType w:val="hybridMultilevel"/>
    <w:tmpl w:val="115E7F2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2" w15:restartNumberingAfterBreak="0">
    <w:nsid w:val="4AEC0CA3"/>
    <w:multiLevelType w:val="hybridMultilevel"/>
    <w:tmpl w:val="9EE6800C"/>
    <w:lvl w:ilvl="0" w:tplc="64128EF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936206"/>
    <w:multiLevelType w:val="hybridMultilevel"/>
    <w:tmpl w:val="A5D69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2C5C9D"/>
    <w:multiLevelType w:val="hybridMultilevel"/>
    <w:tmpl w:val="CF00A8BA"/>
    <w:lvl w:ilvl="0" w:tplc="C8DE9154">
      <w:start w:val="10"/>
      <w:numFmt w:val="decimal"/>
      <w:lvlText w:val="%1."/>
      <w:lvlJc w:val="left"/>
      <w:pPr>
        <w:tabs>
          <w:tab w:val="num" w:pos="720"/>
        </w:tabs>
        <w:ind w:left="720" w:hanging="81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5" w15:restartNumberingAfterBreak="0">
    <w:nsid w:val="50A10467"/>
    <w:multiLevelType w:val="hybridMultilevel"/>
    <w:tmpl w:val="48766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9C540E"/>
    <w:multiLevelType w:val="hybridMultilevel"/>
    <w:tmpl w:val="B46AE4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57F46754"/>
    <w:multiLevelType w:val="hybridMultilevel"/>
    <w:tmpl w:val="0DBEB4FC"/>
    <w:lvl w:ilvl="0" w:tplc="3B3E32D2">
      <w:start w:val="1"/>
      <w:numFmt w:val="decimal"/>
      <w:pStyle w:val="point"/>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8822B53"/>
    <w:multiLevelType w:val="hybridMultilevel"/>
    <w:tmpl w:val="D1E010A4"/>
    <w:lvl w:ilvl="0" w:tplc="D6003C26">
      <w:start w:val="4"/>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7138F7"/>
    <w:multiLevelType w:val="hybridMultilevel"/>
    <w:tmpl w:val="49E8CE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EC94A56"/>
    <w:multiLevelType w:val="hybridMultilevel"/>
    <w:tmpl w:val="E9A4DD6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F9A7881"/>
    <w:multiLevelType w:val="hybridMultilevel"/>
    <w:tmpl w:val="936E55BC"/>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9"/>
  </w:num>
  <w:num w:numId="6">
    <w:abstractNumId w:val="21"/>
  </w:num>
  <w:num w:numId="7">
    <w:abstractNumId w:val="14"/>
  </w:num>
  <w:num w:numId="8">
    <w:abstractNumId w:val="1"/>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9">
    <w:abstractNumId w:val="1"/>
    <w:lvlOverride w:ilvl="0">
      <w:lvl w:ilvl="0">
        <w:start w:val="1"/>
        <w:numFmt w:val="bullet"/>
        <w:lvlText w:val=""/>
        <w:legacy w:legacy="1" w:legacySpace="0" w:legacyIndent="230"/>
        <w:lvlJc w:val="left"/>
        <w:pPr>
          <w:ind w:left="230" w:hanging="230"/>
        </w:pPr>
        <w:rPr>
          <w:rFonts w:ascii="Symbol" w:hAnsi="Symbol" w:cs="Times New Roman" w:hint="default"/>
        </w:rPr>
      </w:lvl>
    </w:lvlOverride>
  </w:num>
  <w:num w:numId="10">
    <w:abstractNumId w:val="1"/>
    <w:lvlOverride w:ilvl="0">
      <w:lvl w:ilvl="0">
        <w:start w:val="1"/>
        <w:numFmt w:val="bullet"/>
        <w:lvlText w:val=""/>
        <w:legacy w:legacy="1" w:legacySpace="0" w:legacyIndent="259"/>
        <w:lvlJc w:val="left"/>
        <w:pPr>
          <w:ind w:left="259" w:hanging="259"/>
        </w:pPr>
        <w:rPr>
          <w:rFonts w:ascii="Symbol" w:hAnsi="Symbol" w:cs="Times New Roman" w:hint="default"/>
        </w:rPr>
      </w:lvl>
    </w:lvlOverride>
  </w:num>
  <w:num w:numId="11">
    <w:abstractNumId w:val="6"/>
  </w:num>
  <w:num w:numId="12">
    <w:abstractNumId w:val="27"/>
  </w:num>
  <w:num w:numId="13">
    <w:abstractNumId w:val="20"/>
  </w:num>
  <w:num w:numId="14">
    <w:abstractNumId w:val="10"/>
  </w:num>
  <w:num w:numId="15">
    <w:abstractNumId w:val="25"/>
  </w:num>
  <w:num w:numId="16">
    <w:abstractNumId w:val="28"/>
  </w:num>
  <w:num w:numId="17">
    <w:abstractNumId w:val="30"/>
  </w:num>
  <w:num w:numId="18">
    <w:abstractNumId w:val="0"/>
  </w:num>
  <w:num w:numId="19">
    <w:abstractNumId w:val="4"/>
  </w:num>
  <w:num w:numId="20">
    <w:abstractNumId w:val="17"/>
  </w:num>
  <w:num w:numId="21">
    <w:abstractNumId w:val="16"/>
  </w:num>
  <w:num w:numId="22">
    <w:abstractNumId w:val="3"/>
  </w:num>
  <w:num w:numId="23">
    <w:abstractNumId w:val="11"/>
  </w:num>
  <w:num w:numId="24">
    <w:abstractNumId w:val="22"/>
  </w:num>
  <w:num w:numId="25">
    <w:abstractNumId w:val="31"/>
  </w:num>
  <w:num w:numId="26">
    <w:abstractNumId w:val="8"/>
  </w:num>
  <w:num w:numId="27">
    <w:abstractNumId w:val="13"/>
  </w:num>
  <w:num w:numId="28">
    <w:abstractNumId w:val="7"/>
  </w:num>
  <w:num w:numId="29">
    <w:abstractNumId w:val="15"/>
  </w:num>
  <w:num w:numId="30">
    <w:abstractNumId w:val="24"/>
  </w:num>
  <w:num w:numId="31">
    <w:abstractNumId w:val="29"/>
  </w:num>
  <w:num w:numId="32">
    <w:abstractNumId w:val="23"/>
  </w:num>
  <w:num w:numId="33">
    <w:abstractNumId w:val="19"/>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16"/>
    <w:rsid w:val="000013AE"/>
    <w:rsid w:val="000014EE"/>
    <w:rsid w:val="000017D9"/>
    <w:rsid w:val="00007B3E"/>
    <w:rsid w:val="00010282"/>
    <w:rsid w:val="00010C66"/>
    <w:rsid w:val="000124E3"/>
    <w:rsid w:val="00012F7B"/>
    <w:rsid w:val="00013FB5"/>
    <w:rsid w:val="00014030"/>
    <w:rsid w:val="00014411"/>
    <w:rsid w:val="000146BA"/>
    <w:rsid w:val="00015F1F"/>
    <w:rsid w:val="000172EA"/>
    <w:rsid w:val="00017CCC"/>
    <w:rsid w:val="000200F2"/>
    <w:rsid w:val="00020B14"/>
    <w:rsid w:val="00021925"/>
    <w:rsid w:val="00023314"/>
    <w:rsid w:val="00023E8D"/>
    <w:rsid w:val="000241FE"/>
    <w:rsid w:val="00024A07"/>
    <w:rsid w:val="000307B2"/>
    <w:rsid w:val="00032C40"/>
    <w:rsid w:val="00033451"/>
    <w:rsid w:val="00033A25"/>
    <w:rsid w:val="00035EE4"/>
    <w:rsid w:val="000372E8"/>
    <w:rsid w:val="00040357"/>
    <w:rsid w:val="000412D3"/>
    <w:rsid w:val="00043269"/>
    <w:rsid w:val="00045999"/>
    <w:rsid w:val="00046728"/>
    <w:rsid w:val="00046DE3"/>
    <w:rsid w:val="000500BE"/>
    <w:rsid w:val="00050105"/>
    <w:rsid w:val="0005251F"/>
    <w:rsid w:val="000563EF"/>
    <w:rsid w:val="00060B04"/>
    <w:rsid w:val="00061323"/>
    <w:rsid w:val="00064088"/>
    <w:rsid w:val="00070C68"/>
    <w:rsid w:val="00070D9D"/>
    <w:rsid w:val="00071484"/>
    <w:rsid w:val="000718A3"/>
    <w:rsid w:val="00071BDC"/>
    <w:rsid w:val="00072BD5"/>
    <w:rsid w:val="000733CB"/>
    <w:rsid w:val="000734F9"/>
    <w:rsid w:val="00073BF3"/>
    <w:rsid w:val="000750C9"/>
    <w:rsid w:val="00075629"/>
    <w:rsid w:val="000814AB"/>
    <w:rsid w:val="00081A9A"/>
    <w:rsid w:val="000829E8"/>
    <w:rsid w:val="00084F45"/>
    <w:rsid w:val="0008525B"/>
    <w:rsid w:val="00085F6C"/>
    <w:rsid w:val="00086EE2"/>
    <w:rsid w:val="00087075"/>
    <w:rsid w:val="00087337"/>
    <w:rsid w:val="0008782C"/>
    <w:rsid w:val="0009229E"/>
    <w:rsid w:val="00092D33"/>
    <w:rsid w:val="000933AF"/>
    <w:rsid w:val="00095A24"/>
    <w:rsid w:val="000A182F"/>
    <w:rsid w:val="000A3D77"/>
    <w:rsid w:val="000A596F"/>
    <w:rsid w:val="000A656F"/>
    <w:rsid w:val="000A71D4"/>
    <w:rsid w:val="000A7AD4"/>
    <w:rsid w:val="000A7F95"/>
    <w:rsid w:val="000B0E26"/>
    <w:rsid w:val="000B43C0"/>
    <w:rsid w:val="000B4AD1"/>
    <w:rsid w:val="000B6DBB"/>
    <w:rsid w:val="000C00A2"/>
    <w:rsid w:val="000C18AF"/>
    <w:rsid w:val="000C1C23"/>
    <w:rsid w:val="000C2472"/>
    <w:rsid w:val="000C33CC"/>
    <w:rsid w:val="000C67AA"/>
    <w:rsid w:val="000C6B56"/>
    <w:rsid w:val="000C7EC4"/>
    <w:rsid w:val="000D01E7"/>
    <w:rsid w:val="000D04CD"/>
    <w:rsid w:val="000D0B53"/>
    <w:rsid w:val="000D0C5B"/>
    <w:rsid w:val="000D11A0"/>
    <w:rsid w:val="000D4ECB"/>
    <w:rsid w:val="000D4FF3"/>
    <w:rsid w:val="000D67E5"/>
    <w:rsid w:val="000D69AB"/>
    <w:rsid w:val="000E08B9"/>
    <w:rsid w:val="000E1473"/>
    <w:rsid w:val="000E25AC"/>
    <w:rsid w:val="000E6B43"/>
    <w:rsid w:val="000E72BF"/>
    <w:rsid w:val="000E730B"/>
    <w:rsid w:val="000F3126"/>
    <w:rsid w:val="000F3562"/>
    <w:rsid w:val="000F3DCE"/>
    <w:rsid w:val="000F67D7"/>
    <w:rsid w:val="000F6DEE"/>
    <w:rsid w:val="000F6E1A"/>
    <w:rsid w:val="00100F56"/>
    <w:rsid w:val="00104463"/>
    <w:rsid w:val="00107595"/>
    <w:rsid w:val="00107BCA"/>
    <w:rsid w:val="00110418"/>
    <w:rsid w:val="00111712"/>
    <w:rsid w:val="00111DC1"/>
    <w:rsid w:val="00112D74"/>
    <w:rsid w:val="00114309"/>
    <w:rsid w:val="001152A8"/>
    <w:rsid w:val="00121720"/>
    <w:rsid w:val="00121DEB"/>
    <w:rsid w:val="00123520"/>
    <w:rsid w:val="00124E84"/>
    <w:rsid w:val="001266A7"/>
    <w:rsid w:val="00127321"/>
    <w:rsid w:val="001319F4"/>
    <w:rsid w:val="00131A0B"/>
    <w:rsid w:val="00131E67"/>
    <w:rsid w:val="00134F61"/>
    <w:rsid w:val="001366BC"/>
    <w:rsid w:val="00136D91"/>
    <w:rsid w:val="001370FB"/>
    <w:rsid w:val="00137216"/>
    <w:rsid w:val="00140443"/>
    <w:rsid w:val="001414D4"/>
    <w:rsid w:val="001424FC"/>
    <w:rsid w:val="00145517"/>
    <w:rsid w:val="001467EE"/>
    <w:rsid w:val="00146D7B"/>
    <w:rsid w:val="001479E0"/>
    <w:rsid w:val="00147F2D"/>
    <w:rsid w:val="00151BA2"/>
    <w:rsid w:val="001528A0"/>
    <w:rsid w:val="00155872"/>
    <w:rsid w:val="00155C34"/>
    <w:rsid w:val="001572BE"/>
    <w:rsid w:val="0015795F"/>
    <w:rsid w:val="00160824"/>
    <w:rsid w:val="00161E63"/>
    <w:rsid w:val="00166992"/>
    <w:rsid w:val="00167BEF"/>
    <w:rsid w:val="00170066"/>
    <w:rsid w:val="0017101F"/>
    <w:rsid w:val="00171EA2"/>
    <w:rsid w:val="00172915"/>
    <w:rsid w:val="00172E78"/>
    <w:rsid w:val="00173940"/>
    <w:rsid w:val="00174845"/>
    <w:rsid w:val="00174A1B"/>
    <w:rsid w:val="00174DCB"/>
    <w:rsid w:val="00175476"/>
    <w:rsid w:val="0017602F"/>
    <w:rsid w:val="00176AA0"/>
    <w:rsid w:val="001800C4"/>
    <w:rsid w:val="00180B90"/>
    <w:rsid w:val="00180BA0"/>
    <w:rsid w:val="00181270"/>
    <w:rsid w:val="00181899"/>
    <w:rsid w:val="00182B99"/>
    <w:rsid w:val="00184075"/>
    <w:rsid w:val="001873FA"/>
    <w:rsid w:val="00187D47"/>
    <w:rsid w:val="0019009E"/>
    <w:rsid w:val="0019043F"/>
    <w:rsid w:val="00190DBC"/>
    <w:rsid w:val="001935FE"/>
    <w:rsid w:val="0019463A"/>
    <w:rsid w:val="00194A8C"/>
    <w:rsid w:val="00195B9D"/>
    <w:rsid w:val="001962E8"/>
    <w:rsid w:val="001965D9"/>
    <w:rsid w:val="001A075E"/>
    <w:rsid w:val="001A323D"/>
    <w:rsid w:val="001A3DD6"/>
    <w:rsid w:val="001A503C"/>
    <w:rsid w:val="001A560A"/>
    <w:rsid w:val="001B245D"/>
    <w:rsid w:val="001B2524"/>
    <w:rsid w:val="001B36AC"/>
    <w:rsid w:val="001B39FD"/>
    <w:rsid w:val="001B3ACA"/>
    <w:rsid w:val="001B4C94"/>
    <w:rsid w:val="001C300F"/>
    <w:rsid w:val="001C3288"/>
    <w:rsid w:val="001C3B59"/>
    <w:rsid w:val="001C43D5"/>
    <w:rsid w:val="001C4DCB"/>
    <w:rsid w:val="001D25E8"/>
    <w:rsid w:val="001D2E4F"/>
    <w:rsid w:val="001D4933"/>
    <w:rsid w:val="001D532C"/>
    <w:rsid w:val="001D5A7F"/>
    <w:rsid w:val="001D7126"/>
    <w:rsid w:val="001E32F1"/>
    <w:rsid w:val="001E353E"/>
    <w:rsid w:val="001E5674"/>
    <w:rsid w:val="001E6544"/>
    <w:rsid w:val="001E72C8"/>
    <w:rsid w:val="001F09E3"/>
    <w:rsid w:val="001F209B"/>
    <w:rsid w:val="001F38CA"/>
    <w:rsid w:val="001F3FEA"/>
    <w:rsid w:val="001F6509"/>
    <w:rsid w:val="001F721D"/>
    <w:rsid w:val="00203CB8"/>
    <w:rsid w:val="002055F3"/>
    <w:rsid w:val="00206116"/>
    <w:rsid w:val="00207AA2"/>
    <w:rsid w:val="002101C9"/>
    <w:rsid w:val="002139AE"/>
    <w:rsid w:val="00215102"/>
    <w:rsid w:val="00215521"/>
    <w:rsid w:val="00217E84"/>
    <w:rsid w:val="0022494C"/>
    <w:rsid w:val="00227FC3"/>
    <w:rsid w:val="0023227B"/>
    <w:rsid w:val="0023454D"/>
    <w:rsid w:val="0023528E"/>
    <w:rsid w:val="00235C69"/>
    <w:rsid w:val="00236FAC"/>
    <w:rsid w:val="002371D0"/>
    <w:rsid w:val="00237E1D"/>
    <w:rsid w:val="00244235"/>
    <w:rsid w:val="0024437B"/>
    <w:rsid w:val="00244A49"/>
    <w:rsid w:val="00244F88"/>
    <w:rsid w:val="0025072E"/>
    <w:rsid w:val="00253230"/>
    <w:rsid w:val="00255434"/>
    <w:rsid w:val="00255DE6"/>
    <w:rsid w:val="002568E9"/>
    <w:rsid w:val="00260634"/>
    <w:rsid w:val="00261204"/>
    <w:rsid w:val="0026159C"/>
    <w:rsid w:val="00261A4C"/>
    <w:rsid w:val="0026429E"/>
    <w:rsid w:val="002657BD"/>
    <w:rsid w:val="00266232"/>
    <w:rsid w:val="0026704D"/>
    <w:rsid w:val="00271BC1"/>
    <w:rsid w:val="002748D3"/>
    <w:rsid w:val="002757E3"/>
    <w:rsid w:val="00280DC0"/>
    <w:rsid w:val="00280EFD"/>
    <w:rsid w:val="002819E4"/>
    <w:rsid w:val="0028340A"/>
    <w:rsid w:val="00286FB8"/>
    <w:rsid w:val="00290922"/>
    <w:rsid w:val="00290A40"/>
    <w:rsid w:val="00291DB1"/>
    <w:rsid w:val="00293D3E"/>
    <w:rsid w:val="0029453D"/>
    <w:rsid w:val="002955FF"/>
    <w:rsid w:val="0029594F"/>
    <w:rsid w:val="002975DD"/>
    <w:rsid w:val="00297742"/>
    <w:rsid w:val="002A011C"/>
    <w:rsid w:val="002A3AE8"/>
    <w:rsid w:val="002A4A36"/>
    <w:rsid w:val="002A5AC0"/>
    <w:rsid w:val="002A7AD2"/>
    <w:rsid w:val="002B0515"/>
    <w:rsid w:val="002B635C"/>
    <w:rsid w:val="002B753E"/>
    <w:rsid w:val="002C3D42"/>
    <w:rsid w:val="002C4313"/>
    <w:rsid w:val="002C4DBE"/>
    <w:rsid w:val="002C59B0"/>
    <w:rsid w:val="002C62E1"/>
    <w:rsid w:val="002C65F4"/>
    <w:rsid w:val="002D06BC"/>
    <w:rsid w:val="002D209B"/>
    <w:rsid w:val="002D58B1"/>
    <w:rsid w:val="002E16A4"/>
    <w:rsid w:val="002E3F2D"/>
    <w:rsid w:val="002E6992"/>
    <w:rsid w:val="002F13CD"/>
    <w:rsid w:val="002F2028"/>
    <w:rsid w:val="002F2D5F"/>
    <w:rsid w:val="002F3FA4"/>
    <w:rsid w:val="002F4D54"/>
    <w:rsid w:val="002F56EA"/>
    <w:rsid w:val="002F6602"/>
    <w:rsid w:val="002F79F2"/>
    <w:rsid w:val="00300435"/>
    <w:rsid w:val="0030177C"/>
    <w:rsid w:val="0030610E"/>
    <w:rsid w:val="0030614C"/>
    <w:rsid w:val="003101D9"/>
    <w:rsid w:val="00312E6D"/>
    <w:rsid w:val="00313619"/>
    <w:rsid w:val="00315B00"/>
    <w:rsid w:val="003161F5"/>
    <w:rsid w:val="00316FA4"/>
    <w:rsid w:val="003223D2"/>
    <w:rsid w:val="00323E8C"/>
    <w:rsid w:val="00327A94"/>
    <w:rsid w:val="00331630"/>
    <w:rsid w:val="003322AB"/>
    <w:rsid w:val="00332BDD"/>
    <w:rsid w:val="00333982"/>
    <w:rsid w:val="00333CFA"/>
    <w:rsid w:val="00334244"/>
    <w:rsid w:val="00335EED"/>
    <w:rsid w:val="00336786"/>
    <w:rsid w:val="00336FB3"/>
    <w:rsid w:val="0034055B"/>
    <w:rsid w:val="00341076"/>
    <w:rsid w:val="003425D6"/>
    <w:rsid w:val="0034361B"/>
    <w:rsid w:val="00346540"/>
    <w:rsid w:val="00351910"/>
    <w:rsid w:val="00352848"/>
    <w:rsid w:val="00352F50"/>
    <w:rsid w:val="00353BDE"/>
    <w:rsid w:val="00353D2F"/>
    <w:rsid w:val="00353EAE"/>
    <w:rsid w:val="0035418F"/>
    <w:rsid w:val="00356C70"/>
    <w:rsid w:val="00361F84"/>
    <w:rsid w:val="00362B6C"/>
    <w:rsid w:val="00365414"/>
    <w:rsid w:val="003659EC"/>
    <w:rsid w:val="00365FFF"/>
    <w:rsid w:val="00366719"/>
    <w:rsid w:val="0036692C"/>
    <w:rsid w:val="00367284"/>
    <w:rsid w:val="00367A94"/>
    <w:rsid w:val="003709EE"/>
    <w:rsid w:val="0037188F"/>
    <w:rsid w:val="00371A13"/>
    <w:rsid w:val="00371CB8"/>
    <w:rsid w:val="00371FEF"/>
    <w:rsid w:val="003731B0"/>
    <w:rsid w:val="00373AE3"/>
    <w:rsid w:val="00374498"/>
    <w:rsid w:val="0037457A"/>
    <w:rsid w:val="003761D3"/>
    <w:rsid w:val="00377F64"/>
    <w:rsid w:val="00380318"/>
    <w:rsid w:val="00380C8E"/>
    <w:rsid w:val="00380EE7"/>
    <w:rsid w:val="0038155E"/>
    <w:rsid w:val="00382C2C"/>
    <w:rsid w:val="00383AA7"/>
    <w:rsid w:val="00383F46"/>
    <w:rsid w:val="00384A92"/>
    <w:rsid w:val="003859AE"/>
    <w:rsid w:val="00385C07"/>
    <w:rsid w:val="003864E2"/>
    <w:rsid w:val="003903E1"/>
    <w:rsid w:val="003916EA"/>
    <w:rsid w:val="00391ED0"/>
    <w:rsid w:val="00393E3B"/>
    <w:rsid w:val="00395D12"/>
    <w:rsid w:val="00397725"/>
    <w:rsid w:val="00397C1F"/>
    <w:rsid w:val="00397DA8"/>
    <w:rsid w:val="003A1E17"/>
    <w:rsid w:val="003A4CEC"/>
    <w:rsid w:val="003A4FAA"/>
    <w:rsid w:val="003B0BBD"/>
    <w:rsid w:val="003B0D93"/>
    <w:rsid w:val="003B16FF"/>
    <w:rsid w:val="003B1832"/>
    <w:rsid w:val="003B20A8"/>
    <w:rsid w:val="003B2F30"/>
    <w:rsid w:val="003B3E3D"/>
    <w:rsid w:val="003B4365"/>
    <w:rsid w:val="003B4EB8"/>
    <w:rsid w:val="003B6711"/>
    <w:rsid w:val="003B7022"/>
    <w:rsid w:val="003B7C9B"/>
    <w:rsid w:val="003C1B64"/>
    <w:rsid w:val="003C2B50"/>
    <w:rsid w:val="003C3B73"/>
    <w:rsid w:val="003C4BAC"/>
    <w:rsid w:val="003C621D"/>
    <w:rsid w:val="003C6E32"/>
    <w:rsid w:val="003D35BD"/>
    <w:rsid w:val="003D70DE"/>
    <w:rsid w:val="003D74F7"/>
    <w:rsid w:val="003D7848"/>
    <w:rsid w:val="003E2118"/>
    <w:rsid w:val="003E3652"/>
    <w:rsid w:val="003E51DF"/>
    <w:rsid w:val="003E58F1"/>
    <w:rsid w:val="003E7118"/>
    <w:rsid w:val="003E7BE2"/>
    <w:rsid w:val="003F0B36"/>
    <w:rsid w:val="003F19A0"/>
    <w:rsid w:val="003F5334"/>
    <w:rsid w:val="003F62AD"/>
    <w:rsid w:val="0040087D"/>
    <w:rsid w:val="00400A4A"/>
    <w:rsid w:val="00402C0B"/>
    <w:rsid w:val="0040342C"/>
    <w:rsid w:val="00404F84"/>
    <w:rsid w:val="0040574A"/>
    <w:rsid w:val="00405D49"/>
    <w:rsid w:val="00406942"/>
    <w:rsid w:val="004102A6"/>
    <w:rsid w:val="004172D7"/>
    <w:rsid w:val="00417E8B"/>
    <w:rsid w:val="00420B20"/>
    <w:rsid w:val="00420F1D"/>
    <w:rsid w:val="00422099"/>
    <w:rsid w:val="00423892"/>
    <w:rsid w:val="00424394"/>
    <w:rsid w:val="004246B7"/>
    <w:rsid w:val="00425581"/>
    <w:rsid w:val="00425D90"/>
    <w:rsid w:val="004271BD"/>
    <w:rsid w:val="00427D9E"/>
    <w:rsid w:val="004322CF"/>
    <w:rsid w:val="00432884"/>
    <w:rsid w:val="00435442"/>
    <w:rsid w:val="00437213"/>
    <w:rsid w:val="00437B67"/>
    <w:rsid w:val="004404A5"/>
    <w:rsid w:val="004410A3"/>
    <w:rsid w:val="0044286E"/>
    <w:rsid w:val="00442CC9"/>
    <w:rsid w:val="00442F89"/>
    <w:rsid w:val="0044570F"/>
    <w:rsid w:val="0044606C"/>
    <w:rsid w:val="00446B0E"/>
    <w:rsid w:val="00447EC1"/>
    <w:rsid w:val="00451245"/>
    <w:rsid w:val="00452B58"/>
    <w:rsid w:val="004542EC"/>
    <w:rsid w:val="004549CB"/>
    <w:rsid w:val="00454B2E"/>
    <w:rsid w:val="004554A8"/>
    <w:rsid w:val="00456489"/>
    <w:rsid w:val="00456E7D"/>
    <w:rsid w:val="00457064"/>
    <w:rsid w:val="00457199"/>
    <w:rsid w:val="0045794F"/>
    <w:rsid w:val="00460514"/>
    <w:rsid w:val="00460B69"/>
    <w:rsid w:val="00461709"/>
    <w:rsid w:val="0046323E"/>
    <w:rsid w:val="004648E2"/>
    <w:rsid w:val="004719F7"/>
    <w:rsid w:val="00472B17"/>
    <w:rsid w:val="00474C33"/>
    <w:rsid w:val="00475ADE"/>
    <w:rsid w:val="0047669E"/>
    <w:rsid w:val="00476856"/>
    <w:rsid w:val="0047704A"/>
    <w:rsid w:val="00477761"/>
    <w:rsid w:val="00482A6C"/>
    <w:rsid w:val="00485462"/>
    <w:rsid w:val="00485A40"/>
    <w:rsid w:val="0049073A"/>
    <w:rsid w:val="00490FF5"/>
    <w:rsid w:val="00493480"/>
    <w:rsid w:val="0049480F"/>
    <w:rsid w:val="00495609"/>
    <w:rsid w:val="0049698C"/>
    <w:rsid w:val="00496D25"/>
    <w:rsid w:val="004A08B4"/>
    <w:rsid w:val="004A09EB"/>
    <w:rsid w:val="004A1094"/>
    <w:rsid w:val="004A164B"/>
    <w:rsid w:val="004A33C1"/>
    <w:rsid w:val="004A61EF"/>
    <w:rsid w:val="004A7399"/>
    <w:rsid w:val="004B0BE0"/>
    <w:rsid w:val="004B1731"/>
    <w:rsid w:val="004B1A43"/>
    <w:rsid w:val="004B1F19"/>
    <w:rsid w:val="004B2C16"/>
    <w:rsid w:val="004B3449"/>
    <w:rsid w:val="004B6AD1"/>
    <w:rsid w:val="004C2B06"/>
    <w:rsid w:val="004C4468"/>
    <w:rsid w:val="004D3734"/>
    <w:rsid w:val="004D5F67"/>
    <w:rsid w:val="004D613E"/>
    <w:rsid w:val="004D7F1C"/>
    <w:rsid w:val="004E01EB"/>
    <w:rsid w:val="004E18B0"/>
    <w:rsid w:val="004E1F5F"/>
    <w:rsid w:val="004E32C3"/>
    <w:rsid w:val="004E39C0"/>
    <w:rsid w:val="004E3A6F"/>
    <w:rsid w:val="004E4B85"/>
    <w:rsid w:val="004E7307"/>
    <w:rsid w:val="004E76AA"/>
    <w:rsid w:val="004F09F6"/>
    <w:rsid w:val="004F0E6E"/>
    <w:rsid w:val="004F27F3"/>
    <w:rsid w:val="004F31E2"/>
    <w:rsid w:val="004F38C4"/>
    <w:rsid w:val="004F4396"/>
    <w:rsid w:val="004F6AE9"/>
    <w:rsid w:val="004F7605"/>
    <w:rsid w:val="005036B4"/>
    <w:rsid w:val="0050520B"/>
    <w:rsid w:val="00506A03"/>
    <w:rsid w:val="00506C3A"/>
    <w:rsid w:val="0050758E"/>
    <w:rsid w:val="005107B0"/>
    <w:rsid w:val="00510944"/>
    <w:rsid w:val="00512213"/>
    <w:rsid w:val="005128A1"/>
    <w:rsid w:val="00514BC3"/>
    <w:rsid w:val="00514F96"/>
    <w:rsid w:val="00516893"/>
    <w:rsid w:val="00516F46"/>
    <w:rsid w:val="00521661"/>
    <w:rsid w:val="00522160"/>
    <w:rsid w:val="005240AA"/>
    <w:rsid w:val="00527C0C"/>
    <w:rsid w:val="005308CD"/>
    <w:rsid w:val="00531ADB"/>
    <w:rsid w:val="0053270E"/>
    <w:rsid w:val="00532B52"/>
    <w:rsid w:val="005338AC"/>
    <w:rsid w:val="0053506B"/>
    <w:rsid w:val="005369DE"/>
    <w:rsid w:val="00540EE4"/>
    <w:rsid w:val="00541D6D"/>
    <w:rsid w:val="00543BBD"/>
    <w:rsid w:val="00545DC8"/>
    <w:rsid w:val="00546357"/>
    <w:rsid w:val="00546E60"/>
    <w:rsid w:val="0054767B"/>
    <w:rsid w:val="0055160A"/>
    <w:rsid w:val="00555F62"/>
    <w:rsid w:val="00556B29"/>
    <w:rsid w:val="00563961"/>
    <w:rsid w:val="005645B2"/>
    <w:rsid w:val="005650FD"/>
    <w:rsid w:val="005671F9"/>
    <w:rsid w:val="0056771F"/>
    <w:rsid w:val="00572EB0"/>
    <w:rsid w:val="00573F58"/>
    <w:rsid w:val="00574074"/>
    <w:rsid w:val="00575118"/>
    <w:rsid w:val="005752E8"/>
    <w:rsid w:val="0057689D"/>
    <w:rsid w:val="00576D96"/>
    <w:rsid w:val="00577142"/>
    <w:rsid w:val="00580F82"/>
    <w:rsid w:val="0058122E"/>
    <w:rsid w:val="00581AFB"/>
    <w:rsid w:val="00581FAF"/>
    <w:rsid w:val="00584BB1"/>
    <w:rsid w:val="0059102B"/>
    <w:rsid w:val="0059219D"/>
    <w:rsid w:val="00594F29"/>
    <w:rsid w:val="00595745"/>
    <w:rsid w:val="00597408"/>
    <w:rsid w:val="00597B3B"/>
    <w:rsid w:val="005A0D28"/>
    <w:rsid w:val="005A2E5D"/>
    <w:rsid w:val="005A3BFB"/>
    <w:rsid w:val="005A5A34"/>
    <w:rsid w:val="005A5BB4"/>
    <w:rsid w:val="005A6C7D"/>
    <w:rsid w:val="005A6EB5"/>
    <w:rsid w:val="005A781A"/>
    <w:rsid w:val="005B0CA2"/>
    <w:rsid w:val="005B0F82"/>
    <w:rsid w:val="005B4C57"/>
    <w:rsid w:val="005B57AA"/>
    <w:rsid w:val="005B6514"/>
    <w:rsid w:val="005B7931"/>
    <w:rsid w:val="005C22F9"/>
    <w:rsid w:val="005C3329"/>
    <w:rsid w:val="005C55EB"/>
    <w:rsid w:val="005C705D"/>
    <w:rsid w:val="005C73A6"/>
    <w:rsid w:val="005D065A"/>
    <w:rsid w:val="005D161B"/>
    <w:rsid w:val="005D186D"/>
    <w:rsid w:val="005D1AFB"/>
    <w:rsid w:val="005D2A40"/>
    <w:rsid w:val="005D57A2"/>
    <w:rsid w:val="005D58CD"/>
    <w:rsid w:val="005D7E32"/>
    <w:rsid w:val="005E197D"/>
    <w:rsid w:val="005E5890"/>
    <w:rsid w:val="005E703B"/>
    <w:rsid w:val="005F0309"/>
    <w:rsid w:val="005F1D75"/>
    <w:rsid w:val="005F1F13"/>
    <w:rsid w:val="005F5985"/>
    <w:rsid w:val="005F629F"/>
    <w:rsid w:val="00600778"/>
    <w:rsid w:val="00600EE7"/>
    <w:rsid w:val="006015E2"/>
    <w:rsid w:val="006021F9"/>
    <w:rsid w:val="006027B3"/>
    <w:rsid w:val="00602A7F"/>
    <w:rsid w:val="006031E9"/>
    <w:rsid w:val="00604384"/>
    <w:rsid w:val="006051D3"/>
    <w:rsid w:val="00607692"/>
    <w:rsid w:val="0061112F"/>
    <w:rsid w:val="00612702"/>
    <w:rsid w:val="006153C1"/>
    <w:rsid w:val="0062122F"/>
    <w:rsid w:val="0062170B"/>
    <w:rsid w:val="00621810"/>
    <w:rsid w:val="00623A2B"/>
    <w:rsid w:val="006240BA"/>
    <w:rsid w:val="006270B4"/>
    <w:rsid w:val="006276CD"/>
    <w:rsid w:val="00630285"/>
    <w:rsid w:val="006315E6"/>
    <w:rsid w:val="0063201A"/>
    <w:rsid w:val="006339D0"/>
    <w:rsid w:val="00635636"/>
    <w:rsid w:val="00635D8E"/>
    <w:rsid w:val="00637F70"/>
    <w:rsid w:val="0064048D"/>
    <w:rsid w:val="00642DF8"/>
    <w:rsid w:val="006437B6"/>
    <w:rsid w:val="006455A6"/>
    <w:rsid w:val="006463F9"/>
    <w:rsid w:val="00647DA2"/>
    <w:rsid w:val="00652495"/>
    <w:rsid w:val="0065259D"/>
    <w:rsid w:val="006525E7"/>
    <w:rsid w:val="0065487A"/>
    <w:rsid w:val="00656FD6"/>
    <w:rsid w:val="00661110"/>
    <w:rsid w:val="00661321"/>
    <w:rsid w:val="00662C36"/>
    <w:rsid w:val="00665890"/>
    <w:rsid w:val="00666BCB"/>
    <w:rsid w:val="0066785C"/>
    <w:rsid w:val="00670FE3"/>
    <w:rsid w:val="006717C4"/>
    <w:rsid w:val="006719C6"/>
    <w:rsid w:val="006726BD"/>
    <w:rsid w:val="00673F41"/>
    <w:rsid w:val="00675EF8"/>
    <w:rsid w:val="00677314"/>
    <w:rsid w:val="00680025"/>
    <w:rsid w:val="0068054E"/>
    <w:rsid w:val="00682038"/>
    <w:rsid w:val="00682F8E"/>
    <w:rsid w:val="00683C3D"/>
    <w:rsid w:val="00684790"/>
    <w:rsid w:val="006848C0"/>
    <w:rsid w:val="006855ED"/>
    <w:rsid w:val="00686749"/>
    <w:rsid w:val="006916B6"/>
    <w:rsid w:val="006923D6"/>
    <w:rsid w:val="00692834"/>
    <w:rsid w:val="00694A1F"/>
    <w:rsid w:val="00697741"/>
    <w:rsid w:val="006A0E6A"/>
    <w:rsid w:val="006A2365"/>
    <w:rsid w:val="006A3C56"/>
    <w:rsid w:val="006A40F3"/>
    <w:rsid w:val="006A5B6C"/>
    <w:rsid w:val="006A6417"/>
    <w:rsid w:val="006A75CC"/>
    <w:rsid w:val="006B19E6"/>
    <w:rsid w:val="006B1E4E"/>
    <w:rsid w:val="006B222B"/>
    <w:rsid w:val="006B236A"/>
    <w:rsid w:val="006B2612"/>
    <w:rsid w:val="006B27CB"/>
    <w:rsid w:val="006B6867"/>
    <w:rsid w:val="006B7AE6"/>
    <w:rsid w:val="006C20AA"/>
    <w:rsid w:val="006C234F"/>
    <w:rsid w:val="006C4A2E"/>
    <w:rsid w:val="006C4F6E"/>
    <w:rsid w:val="006C5490"/>
    <w:rsid w:val="006C76BD"/>
    <w:rsid w:val="006D14CC"/>
    <w:rsid w:val="006D458F"/>
    <w:rsid w:val="006D4C76"/>
    <w:rsid w:val="006D5411"/>
    <w:rsid w:val="006D6407"/>
    <w:rsid w:val="006D7D01"/>
    <w:rsid w:val="006E1788"/>
    <w:rsid w:val="006E255A"/>
    <w:rsid w:val="006E358A"/>
    <w:rsid w:val="006E4C5E"/>
    <w:rsid w:val="006E5713"/>
    <w:rsid w:val="006F11FE"/>
    <w:rsid w:val="006F235C"/>
    <w:rsid w:val="006F5CDA"/>
    <w:rsid w:val="006F6C19"/>
    <w:rsid w:val="006F78FD"/>
    <w:rsid w:val="00700214"/>
    <w:rsid w:val="007043BB"/>
    <w:rsid w:val="00706243"/>
    <w:rsid w:val="0070658C"/>
    <w:rsid w:val="00706CA7"/>
    <w:rsid w:val="00710BC7"/>
    <w:rsid w:val="00710D72"/>
    <w:rsid w:val="00711304"/>
    <w:rsid w:val="00711420"/>
    <w:rsid w:val="0071185A"/>
    <w:rsid w:val="00711EBD"/>
    <w:rsid w:val="00713B1D"/>
    <w:rsid w:val="0072135B"/>
    <w:rsid w:val="00721E53"/>
    <w:rsid w:val="0072205A"/>
    <w:rsid w:val="00723328"/>
    <w:rsid w:val="00723DB7"/>
    <w:rsid w:val="00730524"/>
    <w:rsid w:val="0073120F"/>
    <w:rsid w:val="007323A1"/>
    <w:rsid w:val="0073254C"/>
    <w:rsid w:val="00733C96"/>
    <w:rsid w:val="00733E67"/>
    <w:rsid w:val="00734146"/>
    <w:rsid w:val="00734720"/>
    <w:rsid w:val="007362EB"/>
    <w:rsid w:val="00736865"/>
    <w:rsid w:val="00740E1C"/>
    <w:rsid w:val="0074294C"/>
    <w:rsid w:val="00744AFE"/>
    <w:rsid w:val="00745644"/>
    <w:rsid w:val="007460A0"/>
    <w:rsid w:val="00747603"/>
    <w:rsid w:val="00747826"/>
    <w:rsid w:val="007479AB"/>
    <w:rsid w:val="00750CC9"/>
    <w:rsid w:val="00753CD5"/>
    <w:rsid w:val="00754918"/>
    <w:rsid w:val="007549A9"/>
    <w:rsid w:val="00755146"/>
    <w:rsid w:val="00755818"/>
    <w:rsid w:val="00755F41"/>
    <w:rsid w:val="0075613A"/>
    <w:rsid w:val="00756F2E"/>
    <w:rsid w:val="0075758A"/>
    <w:rsid w:val="00760200"/>
    <w:rsid w:val="00762525"/>
    <w:rsid w:val="00762641"/>
    <w:rsid w:val="00762C4E"/>
    <w:rsid w:val="007633AA"/>
    <w:rsid w:val="007700CA"/>
    <w:rsid w:val="00771CE6"/>
    <w:rsid w:val="0077652F"/>
    <w:rsid w:val="007766C3"/>
    <w:rsid w:val="00776C26"/>
    <w:rsid w:val="007772C7"/>
    <w:rsid w:val="00777D38"/>
    <w:rsid w:val="007803E9"/>
    <w:rsid w:val="007820B4"/>
    <w:rsid w:val="00783E57"/>
    <w:rsid w:val="00783FA8"/>
    <w:rsid w:val="007865F0"/>
    <w:rsid w:val="0079033C"/>
    <w:rsid w:val="00791031"/>
    <w:rsid w:val="00792E38"/>
    <w:rsid w:val="007932CE"/>
    <w:rsid w:val="00797338"/>
    <w:rsid w:val="007A0966"/>
    <w:rsid w:val="007A1A3A"/>
    <w:rsid w:val="007A1BD3"/>
    <w:rsid w:val="007A458B"/>
    <w:rsid w:val="007A46C9"/>
    <w:rsid w:val="007A7297"/>
    <w:rsid w:val="007B0B45"/>
    <w:rsid w:val="007B0DDB"/>
    <w:rsid w:val="007B2E66"/>
    <w:rsid w:val="007B34F2"/>
    <w:rsid w:val="007B3AE4"/>
    <w:rsid w:val="007C2060"/>
    <w:rsid w:val="007C2CF7"/>
    <w:rsid w:val="007C509F"/>
    <w:rsid w:val="007C50A3"/>
    <w:rsid w:val="007D1231"/>
    <w:rsid w:val="007D28F2"/>
    <w:rsid w:val="007D44FB"/>
    <w:rsid w:val="007D5FD3"/>
    <w:rsid w:val="007D6231"/>
    <w:rsid w:val="007D6AFF"/>
    <w:rsid w:val="007E1167"/>
    <w:rsid w:val="007E77D5"/>
    <w:rsid w:val="007F15AB"/>
    <w:rsid w:val="007F3274"/>
    <w:rsid w:val="007F5283"/>
    <w:rsid w:val="007F7671"/>
    <w:rsid w:val="007F7FF2"/>
    <w:rsid w:val="0080064A"/>
    <w:rsid w:val="008007F0"/>
    <w:rsid w:val="0080374B"/>
    <w:rsid w:val="008061A8"/>
    <w:rsid w:val="00811D1C"/>
    <w:rsid w:val="00814E22"/>
    <w:rsid w:val="00823202"/>
    <w:rsid w:val="00825B0B"/>
    <w:rsid w:val="00825F7E"/>
    <w:rsid w:val="00826046"/>
    <w:rsid w:val="00827C9F"/>
    <w:rsid w:val="0083263D"/>
    <w:rsid w:val="0083420A"/>
    <w:rsid w:val="00835D0F"/>
    <w:rsid w:val="00835FAA"/>
    <w:rsid w:val="008363BD"/>
    <w:rsid w:val="008374BA"/>
    <w:rsid w:val="008448C4"/>
    <w:rsid w:val="00845CD8"/>
    <w:rsid w:val="00850C3D"/>
    <w:rsid w:val="0085529D"/>
    <w:rsid w:val="008563C9"/>
    <w:rsid w:val="0085697D"/>
    <w:rsid w:val="0086127E"/>
    <w:rsid w:val="00862AC2"/>
    <w:rsid w:val="00862AC3"/>
    <w:rsid w:val="0086329E"/>
    <w:rsid w:val="00863A6B"/>
    <w:rsid w:val="00866C9C"/>
    <w:rsid w:val="008671BC"/>
    <w:rsid w:val="00867F8F"/>
    <w:rsid w:val="00871B17"/>
    <w:rsid w:val="00873CEA"/>
    <w:rsid w:val="00874E51"/>
    <w:rsid w:val="00876174"/>
    <w:rsid w:val="00876A1B"/>
    <w:rsid w:val="008809BA"/>
    <w:rsid w:val="00880FFE"/>
    <w:rsid w:val="00882398"/>
    <w:rsid w:val="008837CE"/>
    <w:rsid w:val="008902EF"/>
    <w:rsid w:val="00891906"/>
    <w:rsid w:val="00891C29"/>
    <w:rsid w:val="00891CF9"/>
    <w:rsid w:val="00892595"/>
    <w:rsid w:val="00893749"/>
    <w:rsid w:val="00893FB4"/>
    <w:rsid w:val="00894371"/>
    <w:rsid w:val="00895FC1"/>
    <w:rsid w:val="008A2812"/>
    <w:rsid w:val="008A5247"/>
    <w:rsid w:val="008A7BA1"/>
    <w:rsid w:val="008B089B"/>
    <w:rsid w:val="008B171B"/>
    <w:rsid w:val="008B2B28"/>
    <w:rsid w:val="008B2C16"/>
    <w:rsid w:val="008B3039"/>
    <w:rsid w:val="008B4ACA"/>
    <w:rsid w:val="008B4DB1"/>
    <w:rsid w:val="008B64BD"/>
    <w:rsid w:val="008B6B52"/>
    <w:rsid w:val="008B6CF3"/>
    <w:rsid w:val="008C2C55"/>
    <w:rsid w:val="008C5127"/>
    <w:rsid w:val="008C5BCD"/>
    <w:rsid w:val="008C634C"/>
    <w:rsid w:val="008C663F"/>
    <w:rsid w:val="008D3ED4"/>
    <w:rsid w:val="008D3F77"/>
    <w:rsid w:val="008D6BC5"/>
    <w:rsid w:val="008D7F39"/>
    <w:rsid w:val="008E2105"/>
    <w:rsid w:val="008E2FAB"/>
    <w:rsid w:val="008E3AB7"/>
    <w:rsid w:val="008E3D9C"/>
    <w:rsid w:val="008E3ED3"/>
    <w:rsid w:val="008E5C15"/>
    <w:rsid w:val="008E6666"/>
    <w:rsid w:val="008E673E"/>
    <w:rsid w:val="008E7DD5"/>
    <w:rsid w:val="008F32E4"/>
    <w:rsid w:val="008F3F33"/>
    <w:rsid w:val="008F6E63"/>
    <w:rsid w:val="00900361"/>
    <w:rsid w:val="00900898"/>
    <w:rsid w:val="00901A49"/>
    <w:rsid w:val="009021BC"/>
    <w:rsid w:val="00902477"/>
    <w:rsid w:val="00904ADB"/>
    <w:rsid w:val="00907978"/>
    <w:rsid w:val="00910443"/>
    <w:rsid w:val="00910775"/>
    <w:rsid w:val="00911135"/>
    <w:rsid w:val="009158F1"/>
    <w:rsid w:val="00915E6B"/>
    <w:rsid w:val="009160D9"/>
    <w:rsid w:val="009179A8"/>
    <w:rsid w:val="009216EA"/>
    <w:rsid w:val="00921BDA"/>
    <w:rsid w:val="009226F1"/>
    <w:rsid w:val="00922FF0"/>
    <w:rsid w:val="00923573"/>
    <w:rsid w:val="00924284"/>
    <w:rsid w:val="00924B70"/>
    <w:rsid w:val="00924E30"/>
    <w:rsid w:val="00931510"/>
    <w:rsid w:val="00932076"/>
    <w:rsid w:val="009338A3"/>
    <w:rsid w:val="009453D7"/>
    <w:rsid w:val="009457A9"/>
    <w:rsid w:val="0094728C"/>
    <w:rsid w:val="00950268"/>
    <w:rsid w:val="00954640"/>
    <w:rsid w:val="00956527"/>
    <w:rsid w:val="00956DF8"/>
    <w:rsid w:val="009605EF"/>
    <w:rsid w:val="00961ABB"/>
    <w:rsid w:val="00963083"/>
    <w:rsid w:val="00964270"/>
    <w:rsid w:val="00965BD8"/>
    <w:rsid w:val="009672A0"/>
    <w:rsid w:val="009715F7"/>
    <w:rsid w:val="00972CB8"/>
    <w:rsid w:val="00972ECB"/>
    <w:rsid w:val="009748EF"/>
    <w:rsid w:val="009749CE"/>
    <w:rsid w:val="00977BA9"/>
    <w:rsid w:val="0098216A"/>
    <w:rsid w:val="009827AE"/>
    <w:rsid w:val="009835E5"/>
    <w:rsid w:val="009839E7"/>
    <w:rsid w:val="00991EAB"/>
    <w:rsid w:val="009949FA"/>
    <w:rsid w:val="009963F0"/>
    <w:rsid w:val="00996F1B"/>
    <w:rsid w:val="00997599"/>
    <w:rsid w:val="00997902"/>
    <w:rsid w:val="009A23BB"/>
    <w:rsid w:val="009A3284"/>
    <w:rsid w:val="009A3352"/>
    <w:rsid w:val="009A34A7"/>
    <w:rsid w:val="009A452B"/>
    <w:rsid w:val="009A5A22"/>
    <w:rsid w:val="009A5A72"/>
    <w:rsid w:val="009A69AB"/>
    <w:rsid w:val="009A7DA3"/>
    <w:rsid w:val="009B152C"/>
    <w:rsid w:val="009B1C8E"/>
    <w:rsid w:val="009B2234"/>
    <w:rsid w:val="009B3908"/>
    <w:rsid w:val="009B3E1D"/>
    <w:rsid w:val="009B4518"/>
    <w:rsid w:val="009B500E"/>
    <w:rsid w:val="009B52E2"/>
    <w:rsid w:val="009B6E3F"/>
    <w:rsid w:val="009B788E"/>
    <w:rsid w:val="009C1170"/>
    <w:rsid w:val="009C15BC"/>
    <w:rsid w:val="009C1C20"/>
    <w:rsid w:val="009C1DD7"/>
    <w:rsid w:val="009C22F7"/>
    <w:rsid w:val="009C37AE"/>
    <w:rsid w:val="009C65A7"/>
    <w:rsid w:val="009C7007"/>
    <w:rsid w:val="009D0EC7"/>
    <w:rsid w:val="009D48CF"/>
    <w:rsid w:val="009E0EDC"/>
    <w:rsid w:val="009E1D45"/>
    <w:rsid w:val="009E20FB"/>
    <w:rsid w:val="009E402E"/>
    <w:rsid w:val="009E43D8"/>
    <w:rsid w:val="009E4965"/>
    <w:rsid w:val="009E64CA"/>
    <w:rsid w:val="009E6A7E"/>
    <w:rsid w:val="009E7ADD"/>
    <w:rsid w:val="009F1888"/>
    <w:rsid w:val="009F5340"/>
    <w:rsid w:val="009F6896"/>
    <w:rsid w:val="00A00F04"/>
    <w:rsid w:val="00A01C87"/>
    <w:rsid w:val="00A028E8"/>
    <w:rsid w:val="00A03C49"/>
    <w:rsid w:val="00A04229"/>
    <w:rsid w:val="00A0486A"/>
    <w:rsid w:val="00A04AC0"/>
    <w:rsid w:val="00A07186"/>
    <w:rsid w:val="00A07453"/>
    <w:rsid w:val="00A0796D"/>
    <w:rsid w:val="00A117F2"/>
    <w:rsid w:val="00A137E9"/>
    <w:rsid w:val="00A1469A"/>
    <w:rsid w:val="00A15219"/>
    <w:rsid w:val="00A1641C"/>
    <w:rsid w:val="00A1732E"/>
    <w:rsid w:val="00A2057D"/>
    <w:rsid w:val="00A21B49"/>
    <w:rsid w:val="00A228A2"/>
    <w:rsid w:val="00A22F07"/>
    <w:rsid w:val="00A24898"/>
    <w:rsid w:val="00A24DA4"/>
    <w:rsid w:val="00A25A51"/>
    <w:rsid w:val="00A276C4"/>
    <w:rsid w:val="00A31844"/>
    <w:rsid w:val="00A32C87"/>
    <w:rsid w:val="00A3479F"/>
    <w:rsid w:val="00A36109"/>
    <w:rsid w:val="00A37297"/>
    <w:rsid w:val="00A37529"/>
    <w:rsid w:val="00A37840"/>
    <w:rsid w:val="00A3797F"/>
    <w:rsid w:val="00A37C0F"/>
    <w:rsid w:val="00A37E62"/>
    <w:rsid w:val="00A406C5"/>
    <w:rsid w:val="00A40D0C"/>
    <w:rsid w:val="00A40FD3"/>
    <w:rsid w:val="00A4160D"/>
    <w:rsid w:val="00A41A19"/>
    <w:rsid w:val="00A45210"/>
    <w:rsid w:val="00A471F7"/>
    <w:rsid w:val="00A477A2"/>
    <w:rsid w:val="00A562C9"/>
    <w:rsid w:val="00A575B2"/>
    <w:rsid w:val="00A57C17"/>
    <w:rsid w:val="00A6392F"/>
    <w:rsid w:val="00A63F6A"/>
    <w:rsid w:val="00A645D2"/>
    <w:rsid w:val="00A64B39"/>
    <w:rsid w:val="00A65897"/>
    <w:rsid w:val="00A713C6"/>
    <w:rsid w:val="00A721D0"/>
    <w:rsid w:val="00A723CD"/>
    <w:rsid w:val="00A72879"/>
    <w:rsid w:val="00A72A7E"/>
    <w:rsid w:val="00A757D0"/>
    <w:rsid w:val="00A768A4"/>
    <w:rsid w:val="00A771AB"/>
    <w:rsid w:val="00A81E72"/>
    <w:rsid w:val="00A85052"/>
    <w:rsid w:val="00A85D72"/>
    <w:rsid w:val="00A86AEC"/>
    <w:rsid w:val="00A91059"/>
    <w:rsid w:val="00A9293A"/>
    <w:rsid w:val="00A92C20"/>
    <w:rsid w:val="00A948A0"/>
    <w:rsid w:val="00A94914"/>
    <w:rsid w:val="00A95A9C"/>
    <w:rsid w:val="00A95EE5"/>
    <w:rsid w:val="00AA0076"/>
    <w:rsid w:val="00AA0E7B"/>
    <w:rsid w:val="00AB0108"/>
    <w:rsid w:val="00AB0236"/>
    <w:rsid w:val="00AB04DA"/>
    <w:rsid w:val="00AB126D"/>
    <w:rsid w:val="00AB2635"/>
    <w:rsid w:val="00AB3AFA"/>
    <w:rsid w:val="00AB4A85"/>
    <w:rsid w:val="00AB6BF5"/>
    <w:rsid w:val="00AB75B8"/>
    <w:rsid w:val="00AB7CED"/>
    <w:rsid w:val="00AC05AE"/>
    <w:rsid w:val="00AC2025"/>
    <w:rsid w:val="00AC3C71"/>
    <w:rsid w:val="00AD0F95"/>
    <w:rsid w:val="00AD1A1B"/>
    <w:rsid w:val="00AD2BAC"/>
    <w:rsid w:val="00AD5CEF"/>
    <w:rsid w:val="00AE16DC"/>
    <w:rsid w:val="00AE2604"/>
    <w:rsid w:val="00AF0CB0"/>
    <w:rsid w:val="00AF2FF1"/>
    <w:rsid w:val="00AF3A4A"/>
    <w:rsid w:val="00AF4271"/>
    <w:rsid w:val="00AF56D4"/>
    <w:rsid w:val="00AF7C5B"/>
    <w:rsid w:val="00B00120"/>
    <w:rsid w:val="00B036CD"/>
    <w:rsid w:val="00B03AC2"/>
    <w:rsid w:val="00B04872"/>
    <w:rsid w:val="00B048DB"/>
    <w:rsid w:val="00B051A5"/>
    <w:rsid w:val="00B05A0A"/>
    <w:rsid w:val="00B06BF3"/>
    <w:rsid w:val="00B11460"/>
    <w:rsid w:val="00B118BE"/>
    <w:rsid w:val="00B12797"/>
    <w:rsid w:val="00B142C6"/>
    <w:rsid w:val="00B17BF2"/>
    <w:rsid w:val="00B20612"/>
    <w:rsid w:val="00B21305"/>
    <w:rsid w:val="00B217B4"/>
    <w:rsid w:val="00B22E10"/>
    <w:rsid w:val="00B23465"/>
    <w:rsid w:val="00B244F6"/>
    <w:rsid w:val="00B27693"/>
    <w:rsid w:val="00B30749"/>
    <w:rsid w:val="00B312D7"/>
    <w:rsid w:val="00B31837"/>
    <w:rsid w:val="00B31DDC"/>
    <w:rsid w:val="00B3320B"/>
    <w:rsid w:val="00B359A8"/>
    <w:rsid w:val="00B3776A"/>
    <w:rsid w:val="00B37818"/>
    <w:rsid w:val="00B414F2"/>
    <w:rsid w:val="00B42AE6"/>
    <w:rsid w:val="00B42DCB"/>
    <w:rsid w:val="00B432EA"/>
    <w:rsid w:val="00B47AE8"/>
    <w:rsid w:val="00B522A4"/>
    <w:rsid w:val="00B54916"/>
    <w:rsid w:val="00B54C53"/>
    <w:rsid w:val="00B54E88"/>
    <w:rsid w:val="00B55A17"/>
    <w:rsid w:val="00B57D3B"/>
    <w:rsid w:val="00B63C88"/>
    <w:rsid w:val="00B70004"/>
    <w:rsid w:val="00B70F47"/>
    <w:rsid w:val="00B718D3"/>
    <w:rsid w:val="00B7423C"/>
    <w:rsid w:val="00B7455A"/>
    <w:rsid w:val="00B808A0"/>
    <w:rsid w:val="00B812B9"/>
    <w:rsid w:val="00B83A05"/>
    <w:rsid w:val="00B83B1B"/>
    <w:rsid w:val="00B8474F"/>
    <w:rsid w:val="00B848A5"/>
    <w:rsid w:val="00B853BB"/>
    <w:rsid w:val="00B87125"/>
    <w:rsid w:val="00B91602"/>
    <w:rsid w:val="00B9235E"/>
    <w:rsid w:val="00B924CB"/>
    <w:rsid w:val="00B92CB5"/>
    <w:rsid w:val="00B9422E"/>
    <w:rsid w:val="00B94D96"/>
    <w:rsid w:val="00B95946"/>
    <w:rsid w:val="00B969BE"/>
    <w:rsid w:val="00B97F8D"/>
    <w:rsid w:val="00BA0C90"/>
    <w:rsid w:val="00BA3BDE"/>
    <w:rsid w:val="00BA3EEF"/>
    <w:rsid w:val="00BA6214"/>
    <w:rsid w:val="00BA6220"/>
    <w:rsid w:val="00BA6F63"/>
    <w:rsid w:val="00BB02B2"/>
    <w:rsid w:val="00BB3661"/>
    <w:rsid w:val="00BB50B1"/>
    <w:rsid w:val="00BB5468"/>
    <w:rsid w:val="00BB677D"/>
    <w:rsid w:val="00BC199C"/>
    <w:rsid w:val="00BC277A"/>
    <w:rsid w:val="00BC4D8C"/>
    <w:rsid w:val="00BC69FF"/>
    <w:rsid w:val="00BD0499"/>
    <w:rsid w:val="00BD0B88"/>
    <w:rsid w:val="00BD223D"/>
    <w:rsid w:val="00BD2853"/>
    <w:rsid w:val="00BD286A"/>
    <w:rsid w:val="00BD405C"/>
    <w:rsid w:val="00BD5775"/>
    <w:rsid w:val="00BD6A9E"/>
    <w:rsid w:val="00BD6DAB"/>
    <w:rsid w:val="00BE0931"/>
    <w:rsid w:val="00BE2915"/>
    <w:rsid w:val="00BE383A"/>
    <w:rsid w:val="00BE4CEF"/>
    <w:rsid w:val="00BE4D3B"/>
    <w:rsid w:val="00BF0E76"/>
    <w:rsid w:val="00BF1E7E"/>
    <w:rsid w:val="00BF2B8D"/>
    <w:rsid w:val="00BF382D"/>
    <w:rsid w:val="00BF5937"/>
    <w:rsid w:val="00C02E1C"/>
    <w:rsid w:val="00C05050"/>
    <w:rsid w:val="00C05424"/>
    <w:rsid w:val="00C0580C"/>
    <w:rsid w:val="00C05AB1"/>
    <w:rsid w:val="00C06A9B"/>
    <w:rsid w:val="00C06E02"/>
    <w:rsid w:val="00C10073"/>
    <w:rsid w:val="00C1038A"/>
    <w:rsid w:val="00C116C3"/>
    <w:rsid w:val="00C11A53"/>
    <w:rsid w:val="00C129E8"/>
    <w:rsid w:val="00C13C7B"/>
    <w:rsid w:val="00C14586"/>
    <w:rsid w:val="00C14979"/>
    <w:rsid w:val="00C15C25"/>
    <w:rsid w:val="00C16058"/>
    <w:rsid w:val="00C164D5"/>
    <w:rsid w:val="00C16C4E"/>
    <w:rsid w:val="00C16D8D"/>
    <w:rsid w:val="00C209F2"/>
    <w:rsid w:val="00C22AB1"/>
    <w:rsid w:val="00C321C9"/>
    <w:rsid w:val="00C34960"/>
    <w:rsid w:val="00C349CB"/>
    <w:rsid w:val="00C3596D"/>
    <w:rsid w:val="00C36923"/>
    <w:rsid w:val="00C36F10"/>
    <w:rsid w:val="00C4323B"/>
    <w:rsid w:val="00C43909"/>
    <w:rsid w:val="00C43947"/>
    <w:rsid w:val="00C45ADC"/>
    <w:rsid w:val="00C474B3"/>
    <w:rsid w:val="00C4761F"/>
    <w:rsid w:val="00C4799A"/>
    <w:rsid w:val="00C50CA1"/>
    <w:rsid w:val="00C5143A"/>
    <w:rsid w:val="00C5466C"/>
    <w:rsid w:val="00C605A4"/>
    <w:rsid w:val="00C63218"/>
    <w:rsid w:val="00C6475D"/>
    <w:rsid w:val="00C66A8D"/>
    <w:rsid w:val="00C674BA"/>
    <w:rsid w:val="00C67CBE"/>
    <w:rsid w:val="00C73771"/>
    <w:rsid w:val="00C741ED"/>
    <w:rsid w:val="00C74515"/>
    <w:rsid w:val="00C74F84"/>
    <w:rsid w:val="00C77C8E"/>
    <w:rsid w:val="00C807A2"/>
    <w:rsid w:val="00C8086D"/>
    <w:rsid w:val="00C82A45"/>
    <w:rsid w:val="00C863C1"/>
    <w:rsid w:val="00C87352"/>
    <w:rsid w:val="00C904ED"/>
    <w:rsid w:val="00C9099F"/>
    <w:rsid w:val="00C9195E"/>
    <w:rsid w:val="00C9203E"/>
    <w:rsid w:val="00C928BF"/>
    <w:rsid w:val="00C92ACB"/>
    <w:rsid w:val="00C93362"/>
    <w:rsid w:val="00C93A32"/>
    <w:rsid w:val="00C93B9E"/>
    <w:rsid w:val="00C940AD"/>
    <w:rsid w:val="00C9438D"/>
    <w:rsid w:val="00C968C6"/>
    <w:rsid w:val="00C97D72"/>
    <w:rsid w:val="00CA6771"/>
    <w:rsid w:val="00CA6E16"/>
    <w:rsid w:val="00CB00C2"/>
    <w:rsid w:val="00CB0A9B"/>
    <w:rsid w:val="00CB1334"/>
    <w:rsid w:val="00CB1E29"/>
    <w:rsid w:val="00CB32C6"/>
    <w:rsid w:val="00CB5BE4"/>
    <w:rsid w:val="00CB6954"/>
    <w:rsid w:val="00CC4540"/>
    <w:rsid w:val="00CC5462"/>
    <w:rsid w:val="00CC75D2"/>
    <w:rsid w:val="00CC7E12"/>
    <w:rsid w:val="00CD11A8"/>
    <w:rsid w:val="00CD241F"/>
    <w:rsid w:val="00CD251B"/>
    <w:rsid w:val="00CD6275"/>
    <w:rsid w:val="00CD66A3"/>
    <w:rsid w:val="00CE103C"/>
    <w:rsid w:val="00CE1156"/>
    <w:rsid w:val="00CE18DA"/>
    <w:rsid w:val="00CE18F4"/>
    <w:rsid w:val="00CE1FA3"/>
    <w:rsid w:val="00CE4349"/>
    <w:rsid w:val="00CE43D0"/>
    <w:rsid w:val="00CE5D9B"/>
    <w:rsid w:val="00CE74B6"/>
    <w:rsid w:val="00CE7F01"/>
    <w:rsid w:val="00CF0846"/>
    <w:rsid w:val="00CF1156"/>
    <w:rsid w:val="00CF210A"/>
    <w:rsid w:val="00CF2829"/>
    <w:rsid w:val="00CF449B"/>
    <w:rsid w:val="00CF4BD5"/>
    <w:rsid w:val="00CF5640"/>
    <w:rsid w:val="00CF7B0C"/>
    <w:rsid w:val="00D03583"/>
    <w:rsid w:val="00D03C1C"/>
    <w:rsid w:val="00D06B1F"/>
    <w:rsid w:val="00D07AB3"/>
    <w:rsid w:val="00D1067B"/>
    <w:rsid w:val="00D119CE"/>
    <w:rsid w:val="00D12873"/>
    <w:rsid w:val="00D13F66"/>
    <w:rsid w:val="00D15749"/>
    <w:rsid w:val="00D1600B"/>
    <w:rsid w:val="00D227D0"/>
    <w:rsid w:val="00D22A88"/>
    <w:rsid w:val="00D23AC3"/>
    <w:rsid w:val="00D24026"/>
    <w:rsid w:val="00D31044"/>
    <w:rsid w:val="00D310D4"/>
    <w:rsid w:val="00D31820"/>
    <w:rsid w:val="00D36860"/>
    <w:rsid w:val="00D406BD"/>
    <w:rsid w:val="00D5535B"/>
    <w:rsid w:val="00D55E86"/>
    <w:rsid w:val="00D60138"/>
    <w:rsid w:val="00D61F2E"/>
    <w:rsid w:val="00D63DCB"/>
    <w:rsid w:val="00D65FEE"/>
    <w:rsid w:val="00D678CA"/>
    <w:rsid w:val="00D6793E"/>
    <w:rsid w:val="00D72D01"/>
    <w:rsid w:val="00D746FB"/>
    <w:rsid w:val="00D754F3"/>
    <w:rsid w:val="00D77DC7"/>
    <w:rsid w:val="00D81F4F"/>
    <w:rsid w:val="00D850A2"/>
    <w:rsid w:val="00D851D2"/>
    <w:rsid w:val="00D860EB"/>
    <w:rsid w:val="00D861D4"/>
    <w:rsid w:val="00D86321"/>
    <w:rsid w:val="00D873BD"/>
    <w:rsid w:val="00D9315B"/>
    <w:rsid w:val="00D941D4"/>
    <w:rsid w:val="00D95E53"/>
    <w:rsid w:val="00D96176"/>
    <w:rsid w:val="00D97B80"/>
    <w:rsid w:val="00DA0A51"/>
    <w:rsid w:val="00DA0BD8"/>
    <w:rsid w:val="00DA2EBB"/>
    <w:rsid w:val="00DA329E"/>
    <w:rsid w:val="00DA615F"/>
    <w:rsid w:val="00DA6237"/>
    <w:rsid w:val="00DB03AD"/>
    <w:rsid w:val="00DB1D11"/>
    <w:rsid w:val="00DB43FA"/>
    <w:rsid w:val="00DB5B79"/>
    <w:rsid w:val="00DC09A5"/>
    <w:rsid w:val="00DC1637"/>
    <w:rsid w:val="00DC1B53"/>
    <w:rsid w:val="00DC1C41"/>
    <w:rsid w:val="00DC5DFF"/>
    <w:rsid w:val="00DC69D1"/>
    <w:rsid w:val="00DD027C"/>
    <w:rsid w:val="00DD1C9A"/>
    <w:rsid w:val="00DD2297"/>
    <w:rsid w:val="00DD4728"/>
    <w:rsid w:val="00DD6530"/>
    <w:rsid w:val="00DD6627"/>
    <w:rsid w:val="00DD7DAE"/>
    <w:rsid w:val="00DE0750"/>
    <w:rsid w:val="00DE1216"/>
    <w:rsid w:val="00DE3262"/>
    <w:rsid w:val="00DE4D5C"/>
    <w:rsid w:val="00DF0A4D"/>
    <w:rsid w:val="00DF1D6C"/>
    <w:rsid w:val="00DF280C"/>
    <w:rsid w:val="00E01866"/>
    <w:rsid w:val="00E03D04"/>
    <w:rsid w:val="00E0442E"/>
    <w:rsid w:val="00E04F77"/>
    <w:rsid w:val="00E054C3"/>
    <w:rsid w:val="00E05F09"/>
    <w:rsid w:val="00E071E3"/>
    <w:rsid w:val="00E07A28"/>
    <w:rsid w:val="00E10E81"/>
    <w:rsid w:val="00E1107C"/>
    <w:rsid w:val="00E125BF"/>
    <w:rsid w:val="00E1367D"/>
    <w:rsid w:val="00E1476B"/>
    <w:rsid w:val="00E14784"/>
    <w:rsid w:val="00E1650B"/>
    <w:rsid w:val="00E172BB"/>
    <w:rsid w:val="00E217C2"/>
    <w:rsid w:val="00E22862"/>
    <w:rsid w:val="00E23E95"/>
    <w:rsid w:val="00E246C0"/>
    <w:rsid w:val="00E26357"/>
    <w:rsid w:val="00E2767C"/>
    <w:rsid w:val="00E309ED"/>
    <w:rsid w:val="00E3190F"/>
    <w:rsid w:val="00E32DB6"/>
    <w:rsid w:val="00E35461"/>
    <w:rsid w:val="00E37DA8"/>
    <w:rsid w:val="00E40D0E"/>
    <w:rsid w:val="00E40FE7"/>
    <w:rsid w:val="00E42A3B"/>
    <w:rsid w:val="00E42F95"/>
    <w:rsid w:val="00E43525"/>
    <w:rsid w:val="00E435AB"/>
    <w:rsid w:val="00E4594B"/>
    <w:rsid w:val="00E46AAB"/>
    <w:rsid w:val="00E47E00"/>
    <w:rsid w:val="00E50E9C"/>
    <w:rsid w:val="00E528C7"/>
    <w:rsid w:val="00E5514C"/>
    <w:rsid w:val="00E55640"/>
    <w:rsid w:val="00E558AE"/>
    <w:rsid w:val="00E5667F"/>
    <w:rsid w:val="00E57F68"/>
    <w:rsid w:val="00E6372E"/>
    <w:rsid w:val="00E64B9C"/>
    <w:rsid w:val="00E66320"/>
    <w:rsid w:val="00E70A51"/>
    <w:rsid w:val="00E71956"/>
    <w:rsid w:val="00E80A65"/>
    <w:rsid w:val="00E8203B"/>
    <w:rsid w:val="00E831D2"/>
    <w:rsid w:val="00E86B7A"/>
    <w:rsid w:val="00E9051D"/>
    <w:rsid w:val="00E911C0"/>
    <w:rsid w:val="00E93E0C"/>
    <w:rsid w:val="00E941A8"/>
    <w:rsid w:val="00E94364"/>
    <w:rsid w:val="00E94CB8"/>
    <w:rsid w:val="00E95C5C"/>
    <w:rsid w:val="00E95C68"/>
    <w:rsid w:val="00E97F81"/>
    <w:rsid w:val="00EA003A"/>
    <w:rsid w:val="00EA1170"/>
    <w:rsid w:val="00EA1BAE"/>
    <w:rsid w:val="00EA464C"/>
    <w:rsid w:val="00EA6653"/>
    <w:rsid w:val="00EB100D"/>
    <w:rsid w:val="00EB1E7C"/>
    <w:rsid w:val="00EB480B"/>
    <w:rsid w:val="00EB5D90"/>
    <w:rsid w:val="00EC4288"/>
    <w:rsid w:val="00EC5C94"/>
    <w:rsid w:val="00EC6EF9"/>
    <w:rsid w:val="00EC798A"/>
    <w:rsid w:val="00EC7E2C"/>
    <w:rsid w:val="00ED0C18"/>
    <w:rsid w:val="00ED1210"/>
    <w:rsid w:val="00ED60FE"/>
    <w:rsid w:val="00EE2391"/>
    <w:rsid w:val="00EE2BA7"/>
    <w:rsid w:val="00EE2E9D"/>
    <w:rsid w:val="00EE62BD"/>
    <w:rsid w:val="00EE6E5E"/>
    <w:rsid w:val="00EF12EC"/>
    <w:rsid w:val="00EF14BD"/>
    <w:rsid w:val="00EF1ECA"/>
    <w:rsid w:val="00EF3C5B"/>
    <w:rsid w:val="00EF536F"/>
    <w:rsid w:val="00EF58EE"/>
    <w:rsid w:val="00EF5973"/>
    <w:rsid w:val="00EF7D50"/>
    <w:rsid w:val="00F01ED2"/>
    <w:rsid w:val="00F023EA"/>
    <w:rsid w:val="00F027B0"/>
    <w:rsid w:val="00F045F1"/>
    <w:rsid w:val="00F0474C"/>
    <w:rsid w:val="00F05949"/>
    <w:rsid w:val="00F077EB"/>
    <w:rsid w:val="00F11117"/>
    <w:rsid w:val="00F14387"/>
    <w:rsid w:val="00F1531E"/>
    <w:rsid w:val="00F16980"/>
    <w:rsid w:val="00F17734"/>
    <w:rsid w:val="00F20A75"/>
    <w:rsid w:val="00F22E82"/>
    <w:rsid w:val="00F2485C"/>
    <w:rsid w:val="00F25DDD"/>
    <w:rsid w:val="00F26B41"/>
    <w:rsid w:val="00F3019F"/>
    <w:rsid w:val="00F323EC"/>
    <w:rsid w:val="00F32509"/>
    <w:rsid w:val="00F32EB6"/>
    <w:rsid w:val="00F36211"/>
    <w:rsid w:val="00F3736E"/>
    <w:rsid w:val="00F400DD"/>
    <w:rsid w:val="00F41616"/>
    <w:rsid w:val="00F41A7A"/>
    <w:rsid w:val="00F43E30"/>
    <w:rsid w:val="00F44124"/>
    <w:rsid w:val="00F45C9D"/>
    <w:rsid w:val="00F45F02"/>
    <w:rsid w:val="00F47727"/>
    <w:rsid w:val="00F47AFF"/>
    <w:rsid w:val="00F50005"/>
    <w:rsid w:val="00F521D9"/>
    <w:rsid w:val="00F52E00"/>
    <w:rsid w:val="00F5357A"/>
    <w:rsid w:val="00F535E4"/>
    <w:rsid w:val="00F53C7F"/>
    <w:rsid w:val="00F54473"/>
    <w:rsid w:val="00F547E4"/>
    <w:rsid w:val="00F54EFE"/>
    <w:rsid w:val="00F550A3"/>
    <w:rsid w:val="00F5692F"/>
    <w:rsid w:val="00F5711C"/>
    <w:rsid w:val="00F613E5"/>
    <w:rsid w:val="00F6303A"/>
    <w:rsid w:val="00F64B8C"/>
    <w:rsid w:val="00F65FF1"/>
    <w:rsid w:val="00F70C0F"/>
    <w:rsid w:val="00F71BC6"/>
    <w:rsid w:val="00F71D68"/>
    <w:rsid w:val="00F739D7"/>
    <w:rsid w:val="00F75845"/>
    <w:rsid w:val="00F760E8"/>
    <w:rsid w:val="00F77B12"/>
    <w:rsid w:val="00F77CD8"/>
    <w:rsid w:val="00F81019"/>
    <w:rsid w:val="00F81D5B"/>
    <w:rsid w:val="00F82354"/>
    <w:rsid w:val="00F82FA0"/>
    <w:rsid w:val="00F841DB"/>
    <w:rsid w:val="00F853CB"/>
    <w:rsid w:val="00F87593"/>
    <w:rsid w:val="00F87983"/>
    <w:rsid w:val="00F9021F"/>
    <w:rsid w:val="00F92504"/>
    <w:rsid w:val="00F9268D"/>
    <w:rsid w:val="00F948D2"/>
    <w:rsid w:val="00FB56B4"/>
    <w:rsid w:val="00FB59F3"/>
    <w:rsid w:val="00FB5FA8"/>
    <w:rsid w:val="00FB725F"/>
    <w:rsid w:val="00FC19FE"/>
    <w:rsid w:val="00FC3EED"/>
    <w:rsid w:val="00FC5AA7"/>
    <w:rsid w:val="00FC7B15"/>
    <w:rsid w:val="00FD08E1"/>
    <w:rsid w:val="00FD5449"/>
    <w:rsid w:val="00FD596D"/>
    <w:rsid w:val="00FD639C"/>
    <w:rsid w:val="00FD71B9"/>
    <w:rsid w:val="00FE05D1"/>
    <w:rsid w:val="00FE0DD9"/>
    <w:rsid w:val="00FE0E5E"/>
    <w:rsid w:val="00FE15C6"/>
    <w:rsid w:val="00FE5FC4"/>
    <w:rsid w:val="00FE613D"/>
    <w:rsid w:val="00FE7571"/>
    <w:rsid w:val="00FF11A1"/>
    <w:rsid w:val="00FF1691"/>
    <w:rsid w:val="00FF1BC7"/>
    <w:rsid w:val="00FF2EC9"/>
    <w:rsid w:val="00FF4507"/>
    <w:rsid w:val="00FF4EE5"/>
    <w:rsid w:val="00FF5B2D"/>
    <w:rsid w:val="00FF6785"/>
    <w:rsid w:val="00FF7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34FF959"/>
  <w15:docId w15:val="{512C37B3-96BC-4766-8B8C-4BD2A90E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116"/>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611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06116"/>
    <w:pPr>
      <w:keepNext/>
      <w:widowControl w:val="0"/>
      <w:overflowPunct w:val="0"/>
      <w:spacing w:line="280" w:lineRule="atLeast"/>
      <w:ind w:right="1800"/>
      <w:outlineLvl w:val="1"/>
    </w:pPr>
    <w:rPr>
      <w:b/>
      <w:bCs/>
    </w:rPr>
  </w:style>
  <w:style w:type="paragraph" w:styleId="Heading3">
    <w:name w:val="heading 3"/>
    <w:basedOn w:val="Normal"/>
    <w:next w:val="Normal"/>
    <w:link w:val="Heading3Char"/>
    <w:unhideWhenUsed/>
    <w:qFormat/>
    <w:rsid w:val="00206116"/>
    <w:pPr>
      <w:keepNext/>
      <w:overflowPunct w:val="0"/>
      <w:spacing w:before="240" w:after="60" w:line="280" w:lineRule="atLeast"/>
      <w:outlineLvl w:val="2"/>
    </w:pPr>
    <w:rPr>
      <w:rFonts w:ascii="Arial" w:hAnsi="Arial" w:cs="Arial"/>
      <w:b/>
      <w:bCs/>
      <w:sz w:val="26"/>
      <w:szCs w:val="26"/>
    </w:rPr>
  </w:style>
  <w:style w:type="paragraph" w:styleId="Heading4">
    <w:name w:val="heading 4"/>
    <w:basedOn w:val="Normal"/>
    <w:next w:val="Normal"/>
    <w:link w:val="Heading4Char"/>
    <w:unhideWhenUsed/>
    <w:qFormat/>
    <w:rsid w:val="00206116"/>
    <w:pPr>
      <w:keepNext/>
      <w:outlineLvl w:val="3"/>
    </w:pPr>
    <w:rPr>
      <w:b/>
      <w:bCs/>
      <w:u w:val="single"/>
    </w:rPr>
  </w:style>
  <w:style w:type="paragraph" w:styleId="Heading5">
    <w:name w:val="heading 5"/>
    <w:basedOn w:val="Normal"/>
    <w:next w:val="Normal"/>
    <w:link w:val="Heading5Char"/>
    <w:unhideWhenUsed/>
    <w:qFormat/>
    <w:rsid w:val="00206116"/>
    <w:pPr>
      <w:keepNext/>
      <w:tabs>
        <w:tab w:val="left" w:pos="204"/>
        <w:tab w:val="left" w:pos="498"/>
      </w:tabs>
      <w:overflowPunct w:val="0"/>
      <w:spacing w:line="280" w:lineRule="exact"/>
      <w:jc w:val="both"/>
      <w:outlineLvl w:val="4"/>
    </w:pPr>
    <w:rPr>
      <w:b/>
      <w:bCs/>
    </w:rPr>
  </w:style>
  <w:style w:type="paragraph" w:styleId="Heading6">
    <w:name w:val="heading 6"/>
    <w:basedOn w:val="Normal"/>
    <w:next w:val="Normal"/>
    <w:link w:val="Heading6Char"/>
    <w:unhideWhenUsed/>
    <w:qFormat/>
    <w:rsid w:val="00206116"/>
    <w:pPr>
      <w:overflowPunct w:val="0"/>
      <w:spacing w:before="240" w:after="60" w:line="280" w:lineRule="atLeast"/>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116"/>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20611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206116"/>
    <w:rPr>
      <w:rFonts w:ascii="Arial" w:eastAsia="Times New Roman" w:hAnsi="Arial" w:cs="Arial"/>
      <w:b/>
      <w:bCs/>
      <w:sz w:val="26"/>
      <w:szCs w:val="26"/>
    </w:rPr>
  </w:style>
  <w:style w:type="character" w:customStyle="1" w:styleId="Heading4Char">
    <w:name w:val="Heading 4 Char"/>
    <w:basedOn w:val="DefaultParagraphFont"/>
    <w:link w:val="Heading4"/>
    <w:semiHidden/>
    <w:rsid w:val="00206116"/>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semiHidden/>
    <w:rsid w:val="0020611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206116"/>
    <w:rPr>
      <w:rFonts w:ascii="Times New Roman" w:eastAsia="Times New Roman" w:hAnsi="Times New Roman" w:cs="Times New Roman"/>
      <w:b/>
      <w:bCs/>
    </w:rPr>
  </w:style>
  <w:style w:type="character" w:styleId="Hyperlink">
    <w:name w:val="Hyperlink"/>
    <w:basedOn w:val="DefaultParagraphFont"/>
    <w:semiHidden/>
    <w:unhideWhenUsed/>
    <w:rsid w:val="00206116"/>
    <w:rPr>
      <w:color w:val="0000FF"/>
      <w:spacing w:val="0"/>
      <w:u w:val="single"/>
    </w:rPr>
  </w:style>
  <w:style w:type="character" w:styleId="FollowedHyperlink">
    <w:name w:val="FollowedHyperlink"/>
    <w:basedOn w:val="DefaultParagraphFont"/>
    <w:semiHidden/>
    <w:unhideWhenUsed/>
    <w:rsid w:val="00206116"/>
    <w:rPr>
      <w:color w:val="800080"/>
      <w:spacing w:val="0"/>
      <w:u w:val="single"/>
    </w:rPr>
  </w:style>
  <w:style w:type="character" w:styleId="Emphasis">
    <w:name w:val="Emphasis"/>
    <w:basedOn w:val="DefaultParagraphFont"/>
    <w:qFormat/>
    <w:rsid w:val="00206116"/>
    <w:rPr>
      <w:i/>
      <w:iCs/>
      <w:spacing w:val="0"/>
    </w:rPr>
  </w:style>
  <w:style w:type="paragraph" w:styleId="HTMLPreformatted">
    <w:name w:val="HTML Preformatted"/>
    <w:basedOn w:val="Normal"/>
    <w:link w:val="HTMLPreformattedChar"/>
    <w:semiHidden/>
    <w:unhideWhenUsed/>
    <w:rsid w:val="00206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206116"/>
    <w:rPr>
      <w:rFonts w:ascii="Courier New" w:eastAsia="Times New Roman" w:hAnsi="Courier New" w:cs="Courier New"/>
      <w:sz w:val="20"/>
      <w:szCs w:val="20"/>
    </w:rPr>
  </w:style>
  <w:style w:type="character" w:styleId="Strong">
    <w:name w:val="Strong"/>
    <w:basedOn w:val="DefaultParagraphFont"/>
    <w:qFormat/>
    <w:rsid w:val="00206116"/>
    <w:rPr>
      <w:b/>
      <w:bCs/>
      <w:spacing w:val="0"/>
    </w:rPr>
  </w:style>
  <w:style w:type="paragraph" w:styleId="NormalWeb">
    <w:name w:val="Normal (Web)"/>
    <w:basedOn w:val="Normal"/>
    <w:uiPriority w:val="99"/>
    <w:semiHidden/>
    <w:unhideWhenUsed/>
    <w:rsid w:val="00206116"/>
    <w:pPr>
      <w:spacing w:before="100" w:beforeAutospacing="1" w:after="100" w:afterAutospacing="1"/>
    </w:pPr>
  </w:style>
  <w:style w:type="paragraph" w:styleId="FootnoteText">
    <w:name w:val="footnote text"/>
    <w:basedOn w:val="Normal"/>
    <w:link w:val="FootnoteTextChar"/>
    <w:uiPriority w:val="99"/>
    <w:unhideWhenUsed/>
    <w:rsid w:val="00206116"/>
    <w:rPr>
      <w:sz w:val="20"/>
      <w:szCs w:val="20"/>
    </w:rPr>
  </w:style>
  <w:style w:type="character" w:customStyle="1" w:styleId="FootnoteTextChar">
    <w:name w:val="Footnote Text Char"/>
    <w:basedOn w:val="DefaultParagraphFont"/>
    <w:link w:val="FootnoteText"/>
    <w:uiPriority w:val="99"/>
    <w:rsid w:val="00206116"/>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206116"/>
    <w:rPr>
      <w:sz w:val="20"/>
      <w:szCs w:val="20"/>
    </w:rPr>
  </w:style>
  <w:style w:type="character" w:customStyle="1" w:styleId="CommentTextChar">
    <w:name w:val="Comment Text Char"/>
    <w:basedOn w:val="DefaultParagraphFont"/>
    <w:link w:val="CommentText"/>
    <w:semiHidden/>
    <w:rsid w:val="0020611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6116"/>
    <w:pPr>
      <w:tabs>
        <w:tab w:val="center" w:pos="4320"/>
        <w:tab w:val="right" w:pos="8640"/>
      </w:tabs>
    </w:pPr>
  </w:style>
  <w:style w:type="character" w:customStyle="1" w:styleId="HeaderChar">
    <w:name w:val="Header Char"/>
    <w:basedOn w:val="DefaultParagraphFont"/>
    <w:link w:val="Header"/>
    <w:uiPriority w:val="99"/>
    <w:rsid w:val="002061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6116"/>
    <w:pPr>
      <w:tabs>
        <w:tab w:val="center" w:pos="4320"/>
        <w:tab w:val="right" w:pos="8640"/>
      </w:tabs>
    </w:pPr>
  </w:style>
  <w:style w:type="character" w:customStyle="1" w:styleId="FooterChar">
    <w:name w:val="Footer Char"/>
    <w:basedOn w:val="DefaultParagraphFont"/>
    <w:link w:val="Footer"/>
    <w:uiPriority w:val="99"/>
    <w:rsid w:val="00206116"/>
    <w:rPr>
      <w:rFonts w:ascii="Times New Roman" w:eastAsia="Times New Roman" w:hAnsi="Times New Roman" w:cs="Times New Roman"/>
      <w:sz w:val="24"/>
      <w:szCs w:val="24"/>
    </w:rPr>
  </w:style>
  <w:style w:type="paragraph" w:styleId="ListBullet">
    <w:name w:val="List Bullet"/>
    <w:basedOn w:val="Normal"/>
    <w:unhideWhenUsed/>
    <w:rsid w:val="00206116"/>
    <w:pPr>
      <w:tabs>
        <w:tab w:val="num" w:pos="360"/>
      </w:tabs>
      <w:overflowPunct w:val="0"/>
      <w:spacing w:line="280" w:lineRule="atLeast"/>
      <w:ind w:left="360" w:hanging="360"/>
    </w:pPr>
  </w:style>
  <w:style w:type="paragraph" w:styleId="BodyText">
    <w:name w:val="Body Text"/>
    <w:basedOn w:val="Normal"/>
    <w:link w:val="BodyTextChar"/>
    <w:unhideWhenUsed/>
    <w:rsid w:val="00206116"/>
    <w:pPr>
      <w:spacing w:after="120"/>
    </w:pPr>
  </w:style>
  <w:style w:type="character" w:customStyle="1" w:styleId="BodyTextChar">
    <w:name w:val="Body Text Char"/>
    <w:basedOn w:val="DefaultParagraphFont"/>
    <w:link w:val="BodyText"/>
    <w:semiHidden/>
    <w:rsid w:val="00206116"/>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206116"/>
    <w:pPr>
      <w:spacing w:after="120" w:line="480" w:lineRule="auto"/>
    </w:pPr>
  </w:style>
  <w:style w:type="character" w:customStyle="1" w:styleId="BodyTextIndentChar">
    <w:name w:val="Body Text Indent Char"/>
    <w:basedOn w:val="DefaultParagraphFont"/>
    <w:link w:val="BodyTextIndent"/>
    <w:semiHidden/>
    <w:rsid w:val="00206116"/>
    <w:rPr>
      <w:rFonts w:ascii="Times New Roman" w:eastAsia="Times New Roman" w:hAnsi="Times New Roman" w:cs="Times New Roman"/>
      <w:sz w:val="24"/>
      <w:szCs w:val="24"/>
    </w:rPr>
  </w:style>
  <w:style w:type="paragraph" w:styleId="Subtitle">
    <w:name w:val="Subtitle"/>
    <w:basedOn w:val="Normal"/>
    <w:link w:val="SubtitleChar"/>
    <w:qFormat/>
    <w:rsid w:val="00206116"/>
    <w:pPr>
      <w:overflowPunct w:val="0"/>
      <w:spacing w:after="60" w:line="280" w:lineRule="atLeast"/>
      <w:jc w:val="center"/>
      <w:outlineLvl w:val="1"/>
    </w:pPr>
    <w:rPr>
      <w:rFonts w:ascii="Arial" w:hAnsi="Arial" w:cs="Arial"/>
    </w:rPr>
  </w:style>
  <w:style w:type="character" w:customStyle="1" w:styleId="SubtitleChar">
    <w:name w:val="Subtitle Char"/>
    <w:basedOn w:val="DefaultParagraphFont"/>
    <w:link w:val="Subtitle"/>
    <w:rsid w:val="00206116"/>
    <w:rPr>
      <w:rFonts w:ascii="Arial" w:eastAsia="Times New Roman" w:hAnsi="Arial" w:cs="Arial"/>
      <w:sz w:val="24"/>
      <w:szCs w:val="24"/>
    </w:rPr>
  </w:style>
  <w:style w:type="paragraph" w:styleId="BodyTextFirstIndent">
    <w:name w:val="Body Text First Indent"/>
    <w:basedOn w:val="BodyText"/>
    <w:link w:val="BodyTextFirstIndentChar"/>
    <w:semiHidden/>
    <w:unhideWhenUsed/>
    <w:rsid w:val="00206116"/>
    <w:pPr>
      <w:ind w:firstLine="210"/>
    </w:pPr>
  </w:style>
  <w:style w:type="character" w:customStyle="1" w:styleId="BodyTextFirstIndentChar">
    <w:name w:val="Body Text First Indent Char"/>
    <w:basedOn w:val="BodyTextChar"/>
    <w:link w:val="BodyTextFirstIndent"/>
    <w:semiHidden/>
    <w:rsid w:val="00206116"/>
    <w:rPr>
      <w:rFonts w:ascii="Times New Roman" w:eastAsia="Times New Roman" w:hAnsi="Times New Roman" w:cs="Times New Roman"/>
      <w:sz w:val="24"/>
      <w:szCs w:val="24"/>
    </w:rPr>
  </w:style>
  <w:style w:type="paragraph" w:styleId="BodyText3">
    <w:name w:val="Body Text 3"/>
    <w:basedOn w:val="Normal"/>
    <w:link w:val="BodyText3Char"/>
    <w:unhideWhenUsed/>
    <w:rsid w:val="00206116"/>
    <w:pPr>
      <w:spacing w:after="120"/>
    </w:pPr>
    <w:rPr>
      <w:sz w:val="16"/>
      <w:szCs w:val="16"/>
    </w:rPr>
  </w:style>
  <w:style w:type="character" w:customStyle="1" w:styleId="BodyText3Char">
    <w:name w:val="Body Text 3 Char"/>
    <w:basedOn w:val="DefaultParagraphFont"/>
    <w:link w:val="BodyText3"/>
    <w:semiHidden/>
    <w:rsid w:val="00206116"/>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206116"/>
    <w:pPr>
      <w:spacing w:after="120" w:line="480" w:lineRule="auto"/>
      <w:ind w:left="360"/>
    </w:pPr>
  </w:style>
  <w:style w:type="character" w:customStyle="1" w:styleId="BodyTextIndent2Char">
    <w:name w:val="Body Text Indent 2 Char"/>
    <w:basedOn w:val="DefaultParagraphFont"/>
    <w:link w:val="BodyTextIndent2"/>
    <w:semiHidden/>
    <w:rsid w:val="00206116"/>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206116"/>
    <w:pPr>
      <w:spacing w:after="120"/>
      <w:ind w:left="360"/>
    </w:pPr>
    <w:rPr>
      <w:sz w:val="16"/>
      <w:szCs w:val="16"/>
    </w:rPr>
  </w:style>
  <w:style w:type="character" w:customStyle="1" w:styleId="BodyTextIndent3Char">
    <w:name w:val="Body Text Indent 3 Char"/>
    <w:basedOn w:val="DefaultParagraphFont"/>
    <w:link w:val="BodyTextIndent3"/>
    <w:semiHidden/>
    <w:rsid w:val="00206116"/>
    <w:rPr>
      <w:rFonts w:ascii="Times New Roman" w:eastAsia="Times New Roman" w:hAnsi="Times New Roman" w:cs="Times New Roman"/>
      <w:sz w:val="16"/>
      <w:szCs w:val="16"/>
    </w:rPr>
  </w:style>
  <w:style w:type="paragraph" w:styleId="DocumentMap">
    <w:name w:val="Document Map"/>
    <w:basedOn w:val="Normal"/>
    <w:link w:val="DocumentMapChar"/>
    <w:semiHidden/>
    <w:unhideWhenUsed/>
    <w:rsid w:val="002061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6116"/>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unhideWhenUsed/>
    <w:rsid w:val="00206116"/>
    <w:rPr>
      <w:b/>
      <w:bCs/>
    </w:rPr>
  </w:style>
  <w:style w:type="character" w:customStyle="1" w:styleId="CommentSubjectChar">
    <w:name w:val="Comment Subject Char"/>
    <w:basedOn w:val="CommentTextChar"/>
    <w:link w:val="CommentSubject"/>
    <w:semiHidden/>
    <w:rsid w:val="00206116"/>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206116"/>
    <w:rPr>
      <w:rFonts w:ascii="Tahoma" w:hAnsi="Tahoma" w:cs="Tahoma"/>
      <w:sz w:val="16"/>
      <w:szCs w:val="16"/>
    </w:rPr>
  </w:style>
  <w:style w:type="character" w:customStyle="1" w:styleId="BalloonTextChar">
    <w:name w:val="Balloon Text Char"/>
    <w:basedOn w:val="DefaultParagraphFont"/>
    <w:link w:val="BalloonText"/>
    <w:uiPriority w:val="99"/>
    <w:semiHidden/>
    <w:rsid w:val="00206116"/>
    <w:rPr>
      <w:rFonts w:ascii="Tahoma" w:eastAsia="Times New Roman" w:hAnsi="Tahoma" w:cs="Tahoma"/>
      <w:sz w:val="16"/>
      <w:szCs w:val="16"/>
    </w:rPr>
  </w:style>
  <w:style w:type="paragraph" w:styleId="Revision">
    <w:name w:val="Revision"/>
    <w:uiPriority w:val="99"/>
    <w:semiHidden/>
    <w:rsid w:val="00206116"/>
    <w:pPr>
      <w:autoSpaceDN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06116"/>
    <w:pPr>
      <w:autoSpaceDE/>
      <w:adjustRightInd/>
      <w:spacing w:after="160" w:line="256" w:lineRule="auto"/>
      <w:ind w:left="720"/>
      <w:contextualSpacing/>
    </w:pPr>
    <w:rPr>
      <w:rFonts w:asciiTheme="minorHAnsi" w:eastAsiaTheme="minorHAnsi" w:hAnsiTheme="minorHAnsi" w:cstheme="minorBidi"/>
      <w:sz w:val="22"/>
      <w:szCs w:val="22"/>
    </w:rPr>
  </w:style>
  <w:style w:type="paragraph" w:customStyle="1" w:styleId="IndentItalCaption">
    <w:name w:val="Indent Ital Caption"/>
    <w:basedOn w:val="BodyText"/>
    <w:rsid w:val="00206116"/>
    <w:pPr>
      <w:keepNext/>
      <w:spacing w:after="240"/>
      <w:ind w:firstLine="720"/>
      <w:jc w:val="both"/>
    </w:pPr>
    <w:rPr>
      <w:i/>
      <w:iCs/>
      <w:sz w:val="22"/>
      <w:szCs w:val="22"/>
    </w:rPr>
  </w:style>
  <w:style w:type="paragraph" w:customStyle="1" w:styleId="boldblock">
    <w:name w:val="boldblock"/>
    <w:basedOn w:val="Heading4"/>
    <w:rsid w:val="00206116"/>
    <w:pPr>
      <w:keepNext w:val="0"/>
      <w:tabs>
        <w:tab w:val="left" w:pos="-864"/>
        <w:tab w:val="left" w:pos="180"/>
        <w:tab w:val="left" w:pos="1530"/>
        <w:tab w:val="left" w:pos="3240"/>
        <w:tab w:val="left" w:pos="4752"/>
        <w:tab w:val="left" w:pos="6336"/>
        <w:tab w:val="left" w:pos="7920"/>
        <w:tab w:val="left" w:pos="9504"/>
        <w:tab w:val="left" w:pos="11088"/>
      </w:tabs>
      <w:spacing w:after="240"/>
      <w:jc w:val="both"/>
    </w:pPr>
    <w:rPr>
      <w:rFonts w:ascii="Times New Roman Bold" w:hAnsi="Times New Roman Bold" w:cs="Times New Roman Bold"/>
      <w:sz w:val="20"/>
      <w:szCs w:val="20"/>
      <w:u w:val="none"/>
    </w:rPr>
  </w:style>
  <w:style w:type="paragraph" w:customStyle="1" w:styleId="KLbcc">
    <w:name w:val="KLbcc"/>
    <w:basedOn w:val="Normal"/>
    <w:rsid w:val="00206116"/>
    <w:pPr>
      <w:ind w:left="720" w:hanging="720"/>
    </w:pPr>
  </w:style>
  <w:style w:type="paragraph" w:customStyle="1" w:styleId="factsbody">
    <w:name w:val="factsbody"/>
    <w:basedOn w:val="Normal"/>
    <w:rsid w:val="00206116"/>
    <w:pPr>
      <w:spacing w:before="100" w:beforeAutospacing="1" w:after="100" w:afterAutospacing="1"/>
    </w:pPr>
    <w:rPr>
      <w:rFonts w:ascii="Arial" w:hAnsi="Arial" w:cs="Arial"/>
      <w:color w:val="000000"/>
      <w:sz w:val="22"/>
      <w:szCs w:val="22"/>
    </w:rPr>
  </w:style>
  <w:style w:type="paragraph" w:customStyle="1" w:styleId="red">
    <w:name w:val="red"/>
    <w:basedOn w:val="Normal"/>
    <w:rsid w:val="00206116"/>
    <w:pPr>
      <w:spacing w:before="100" w:beforeAutospacing="1" w:after="100" w:afterAutospacing="1"/>
    </w:pPr>
    <w:rPr>
      <w:color w:val="BA0000"/>
    </w:rPr>
  </w:style>
  <w:style w:type="paragraph" w:customStyle="1" w:styleId="DeltaViewTableHeading">
    <w:name w:val="DeltaView Table Heading"/>
    <w:basedOn w:val="Normal"/>
    <w:rsid w:val="00206116"/>
    <w:pPr>
      <w:spacing w:after="120"/>
    </w:pPr>
    <w:rPr>
      <w:rFonts w:ascii="Arial" w:hAnsi="Arial" w:cs="Arial"/>
      <w:b/>
      <w:bCs/>
    </w:rPr>
  </w:style>
  <w:style w:type="paragraph" w:customStyle="1" w:styleId="DeltaViewTableBody">
    <w:name w:val="DeltaView Table Body"/>
    <w:basedOn w:val="Normal"/>
    <w:rsid w:val="00206116"/>
    <w:rPr>
      <w:rFonts w:ascii="Arial" w:hAnsi="Arial" w:cs="Arial"/>
    </w:rPr>
  </w:style>
  <w:style w:type="paragraph" w:customStyle="1" w:styleId="DeltaViewAnnounce">
    <w:name w:val="DeltaView Announce"/>
    <w:rsid w:val="00206116"/>
    <w:pPr>
      <w:autoSpaceDE w:val="0"/>
      <w:autoSpaceDN w:val="0"/>
      <w:adjustRightInd w:val="0"/>
      <w:spacing w:before="100" w:beforeAutospacing="1" w:after="100" w:afterAutospacing="1" w:line="240" w:lineRule="auto"/>
    </w:pPr>
    <w:rPr>
      <w:rFonts w:ascii="Arial" w:eastAsia="Times New Roman" w:hAnsi="Arial" w:cs="Arial"/>
      <w:sz w:val="24"/>
      <w:szCs w:val="24"/>
      <w:lang w:val="en-GB"/>
    </w:rPr>
  </w:style>
  <w:style w:type="paragraph" w:customStyle="1" w:styleId="Default">
    <w:name w:val="Default"/>
    <w:rsid w:val="002061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
    <w:name w:val="Body"/>
    <w:basedOn w:val="Normal"/>
    <w:rsid w:val="00206116"/>
    <w:pPr>
      <w:overflowPunct w:val="0"/>
      <w:spacing w:after="280" w:line="280" w:lineRule="atLeast"/>
      <w:jc w:val="both"/>
    </w:pPr>
  </w:style>
  <w:style w:type="paragraph" w:customStyle="1" w:styleId="Heading">
    <w:name w:val="Heading"/>
    <w:basedOn w:val="Normal"/>
    <w:rsid w:val="00206116"/>
    <w:pPr>
      <w:overflowPunct w:val="0"/>
      <w:spacing w:line="320" w:lineRule="atLeast"/>
      <w:jc w:val="center"/>
    </w:pPr>
    <w:rPr>
      <w:sz w:val="28"/>
      <w:szCs w:val="28"/>
    </w:rPr>
  </w:style>
  <w:style w:type="paragraph" w:customStyle="1" w:styleId="indent1">
    <w:name w:val="indent1"/>
    <w:basedOn w:val="Normal"/>
    <w:rsid w:val="00206116"/>
    <w:pPr>
      <w:overflowPunct w:val="0"/>
      <w:spacing w:line="280" w:lineRule="atLeast"/>
      <w:ind w:left="360" w:right="20" w:hanging="180"/>
    </w:pPr>
  </w:style>
  <w:style w:type="paragraph" w:customStyle="1" w:styleId="indent3">
    <w:name w:val="indent3"/>
    <w:basedOn w:val="Normal"/>
    <w:rsid w:val="00206116"/>
    <w:pPr>
      <w:overflowPunct w:val="0"/>
      <w:spacing w:line="280" w:lineRule="atLeast"/>
      <w:ind w:left="720" w:hanging="180"/>
    </w:pPr>
  </w:style>
  <w:style w:type="paragraph" w:customStyle="1" w:styleId="indent4">
    <w:name w:val="indent4"/>
    <w:basedOn w:val="Normal"/>
    <w:rsid w:val="00206116"/>
    <w:pPr>
      <w:overflowPunct w:val="0"/>
      <w:spacing w:line="280" w:lineRule="atLeast"/>
      <w:ind w:left="900" w:hanging="180"/>
    </w:pPr>
  </w:style>
  <w:style w:type="paragraph" w:customStyle="1" w:styleId="indent2">
    <w:name w:val="indent2"/>
    <w:basedOn w:val="Normal"/>
    <w:rsid w:val="00206116"/>
    <w:pPr>
      <w:overflowPunct w:val="0"/>
      <w:spacing w:line="280" w:lineRule="atLeast"/>
      <w:ind w:left="540" w:right="20" w:hanging="180"/>
    </w:pPr>
  </w:style>
  <w:style w:type="paragraph" w:customStyle="1" w:styleId="Chart">
    <w:name w:val="Chart"/>
    <w:basedOn w:val="Normal"/>
    <w:rsid w:val="00206116"/>
    <w:pPr>
      <w:overflowPunct w:val="0"/>
      <w:spacing w:line="280" w:lineRule="atLeast"/>
      <w:ind w:right="20"/>
    </w:pPr>
  </w:style>
  <w:style w:type="paragraph" w:customStyle="1" w:styleId="N-Heading">
    <w:name w:val="N-Heading"/>
    <w:basedOn w:val="Normal"/>
    <w:next w:val="Body"/>
    <w:rsid w:val="00206116"/>
    <w:pPr>
      <w:keepNext/>
      <w:overflowPunct w:val="0"/>
      <w:spacing w:after="280" w:line="280" w:lineRule="atLeast"/>
      <w:ind w:right="20"/>
    </w:pPr>
    <w:rPr>
      <w:b/>
      <w:bCs/>
    </w:rPr>
  </w:style>
  <w:style w:type="paragraph" w:customStyle="1" w:styleId="AddressClosing">
    <w:name w:val="Address/Closing"/>
    <w:basedOn w:val="Normal"/>
    <w:rsid w:val="00206116"/>
    <w:pPr>
      <w:overflowPunct w:val="0"/>
      <w:spacing w:line="280" w:lineRule="atLeast"/>
    </w:pPr>
  </w:style>
  <w:style w:type="paragraph" w:customStyle="1" w:styleId="SubjectLine">
    <w:name w:val="Subject Line"/>
    <w:basedOn w:val="Normal"/>
    <w:next w:val="Body"/>
    <w:rsid w:val="00206116"/>
    <w:pPr>
      <w:overflowPunct w:val="0"/>
      <w:spacing w:after="560" w:line="320" w:lineRule="atLeast"/>
      <w:jc w:val="center"/>
    </w:pPr>
    <w:rPr>
      <w:sz w:val="28"/>
      <w:szCs w:val="28"/>
    </w:rPr>
  </w:style>
  <w:style w:type="paragraph" w:customStyle="1" w:styleId="Heading-up">
    <w:name w:val="Heading-up"/>
    <w:basedOn w:val="Chart"/>
    <w:next w:val="Body"/>
    <w:rsid w:val="00206116"/>
    <w:pPr>
      <w:keepNext/>
      <w:spacing w:after="280" w:line="320" w:lineRule="atLeast"/>
    </w:pPr>
    <w:rPr>
      <w:b/>
      <w:bCs/>
      <w:sz w:val="28"/>
      <w:szCs w:val="28"/>
    </w:rPr>
  </w:style>
  <w:style w:type="paragraph" w:customStyle="1" w:styleId="fsdate">
    <w:name w:val="fs date"/>
    <w:basedOn w:val="Normal"/>
    <w:rsid w:val="00206116"/>
    <w:pPr>
      <w:overflowPunct w:val="0"/>
      <w:spacing w:before="80" w:line="280" w:lineRule="atLeast"/>
    </w:pPr>
  </w:style>
  <w:style w:type="paragraph" w:customStyle="1" w:styleId="fssubtitle">
    <w:name w:val="fs subtitle"/>
    <w:basedOn w:val="Normal"/>
    <w:rsid w:val="00206116"/>
    <w:pPr>
      <w:overflowPunct w:val="0"/>
      <w:spacing w:line="360" w:lineRule="exact"/>
    </w:pPr>
  </w:style>
  <w:style w:type="paragraph" w:customStyle="1" w:styleId="fstitle">
    <w:name w:val="fs title"/>
    <w:basedOn w:val="Normal"/>
    <w:rsid w:val="00206116"/>
    <w:pPr>
      <w:overflowPunct w:val="0"/>
      <w:spacing w:line="360" w:lineRule="exact"/>
    </w:pPr>
    <w:rPr>
      <w:smallCaps/>
      <w:spacing w:val="50"/>
    </w:rPr>
  </w:style>
  <w:style w:type="paragraph" w:customStyle="1" w:styleId="contents">
    <w:name w:val="contents"/>
    <w:basedOn w:val="Normal"/>
    <w:rsid w:val="00206116"/>
    <w:pPr>
      <w:tabs>
        <w:tab w:val="right" w:leader="dot" w:pos="9090"/>
        <w:tab w:val="right" w:pos="9360"/>
      </w:tabs>
      <w:overflowPunct w:val="0"/>
      <w:spacing w:line="280" w:lineRule="atLeast"/>
      <w:jc w:val="both"/>
    </w:pPr>
  </w:style>
  <w:style w:type="paragraph" w:customStyle="1" w:styleId="EYLogoLine">
    <w:name w:val="E&amp;Y Logo Line"/>
    <w:basedOn w:val="Normal"/>
    <w:rsid w:val="00206116"/>
    <w:pPr>
      <w:tabs>
        <w:tab w:val="left" w:pos="4860"/>
        <w:tab w:val="left" w:pos="7740"/>
      </w:tabs>
      <w:overflowPunct w:val="0"/>
      <w:spacing w:line="280" w:lineRule="atLeast"/>
      <w:ind w:left="-360" w:right="-720"/>
      <w:jc w:val="both"/>
    </w:pPr>
    <w:rPr>
      <w:rFonts w:ascii="Times" w:hAnsi="Times"/>
      <w:sz w:val="16"/>
      <w:szCs w:val="16"/>
    </w:rPr>
  </w:style>
  <w:style w:type="paragraph" w:customStyle="1" w:styleId="NETOCTEXT">
    <w:name w:val="NE TOC TEXT"/>
    <w:basedOn w:val="Normal"/>
    <w:rsid w:val="00206116"/>
    <w:pPr>
      <w:tabs>
        <w:tab w:val="left" w:pos="270"/>
        <w:tab w:val="left" w:pos="540"/>
        <w:tab w:val="decimal" w:pos="9540"/>
      </w:tabs>
      <w:autoSpaceDE/>
      <w:adjustRightInd/>
      <w:spacing w:line="-240" w:lineRule="auto"/>
      <w:jc w:val="both"/>
    </w:pPr>
    <w:rPr>
      <w:color w:val="000000"/>
      <w:sz w:val="22"/>
      <w:szCs w:val="22"/>
    </w:rPr>
  </w:style>
  <w:style w:type="paragraph" w:customStyle="1" w:styleId="NENotesCaptionPara">
    <w:name w:val="NE Notes Caption Para"/>
    <w:basedOn w:val="Normal"/>
    <w:rsid w:val="00206116"/>
    <w:pPr>
      <w:autoSpaceDE/>
      <w:adjustRightInd/>
      <w:spacing w:line="-240" w:lineRule="auto"/>
      <w:ind w:left="547"/>
      <w:jc w:val="both"/>
    </w:pPr>
    <w:rPr>
      <w:color w:val="000000"/>
      <w:sz w:val="22"/>
      <w:szCs w:val="22"/>
    </w:rPr>
  </w:style>
  <w:style w:type="paragraph" w:customStyle="1" w:styleId="Salutation1">
    <w:name w:val="Salutation1"/>
    <w:aliases w:val="sa"/>
    <w:basedOn w:val="Normal"/>
    <w:next w:val="Normal"/>
    <w:rsid w:val="00206116"/>
    <w:pPr>
      <w:keepLines/>
      <w:tabs>
        <w:tab w:val="left" w:pos="180"/>
      </w:tabs>
      <w:autoSpaceDE/>
      <w:adjustRightInd/>
      <w:spacing w:after="360"/>
    </w:pPr>
    <w:rPr>
      <w:sz w:val="22"/>
      <w:szCs w:val="20"/>
    </w:rPr>
  </w:style>
  <w:style w:type="paragraph" w:customStyle="1" w:styleId="OpinionHeading">
    <w:name w:val="Opinion Heading"/>
    <w:aliases w:val="oh"/>
    <w:basedOn w:val="Normal"/>
    <w:next w:val="Salutation1"/>
    <w:rsid w:val="00206116"/>
    <w:pPr>
      <w:keepNext/>
      <w:keepLines/>
      <w:autoSpaceDE/>
      <w:adjustRightInd/>
      <w:spacing w:before="2400" w:after="600"/>
      <w:jc w:val="center"/>
    </w:pPr>
    <w:rPr>
      <w:b/>
      <w:sz w:val="22"/>
      <w:szCs w:val="20"/>
    </w:rPr>
  </w:style>
  <w:style w:type="paragraph" w:customStyle="1" w:styleId="NormalKeepWithNext">
    <w:name w:val="Normal Keep With Next"/>
    <w:aliases w:val="nkwn"/>
    <w:basedOn w:val="Normal"/>
    <w:next w:val="Normal"/>
    <w:rsid w:val="00206116"/>
    <w:pPr>
      <w:keepNext/>
      <w:autoSpaceDE/>
      <w:adjustRightInd/>
      <w:spacing w:after="200"/>
      <w:jc w:val="both"/>
    </w:pPr>
    <w:rPr>
      <w:sz w:val="22"/>
      <w:szCs w:val="20"/>
    </w:rPr>
  </w:style>
  <w:style w:type="paragraph" w:customStyle="1" w:styleId="CoverLevel11">
    <w:name w:val="Cover Level 1.1"/>
    <w:aliases w:val="cl1.1,cl11"/>
    <w:basedOn w:val="Normal"/>
    <w:next w:val="Normal"/>
    <w:rsid w:val="00206116"/>
    <w:pPr>
      <w:keepNext/>
      <w:keepLines/>
      <w:autoSpaceDE/>
      <w:adjustRightInd/>
      <w:spacing w:before="4740"/>
      <w:jc w:val="center"/>
    </w:pPr>
    <w:rPr>
      <w:b/>
      <w:caps/>
      <w:sz w:val="28"/>
      <w:szCs w:val="20"/>
    </w:rPr>
  </w:style>
  <w:style w:type="paragraph" w:customStyle="1" w:styleId="NoteText">
    <w:name w:val="Note Text"/>
    <w:aliases w:val="nt,Note text"/>
    <w:basedOn w:val="Normal"/>
    <w:rsid w:val="00206116"/>
    <w:pPr>
      <w:autoSpaceDE/>
      <w:adjustRightInd/>
      <w:spacing w:after="200"/>
      <w:ind w:left="540"/>
      <w:jc w:val="both"/>
    </w:pPr>
    <w:rPr>
      <w:sz w:val="22"/>
      <w:szCs w:val="20"/>
    </w:rPr>
  </w:style>
  <w:style w:type="paragraph" w:customStyle="1" w:styleId="LeftBoldCaption">
    <w:name w:val="Left Bold Caption"/>
    <w:basedOn w:val="Subtitle"/>
    <w:rsid w:val="00206116"/>
    <w:pPr>
      <w:keepNext/>
      <w:overflowPunct/>
      <w:autoSpaceDE/>
      <w:adjustRightInd/>
      <w:spacing w:after="240" w:line="240" w:lineRule="auto"/>
      <w:jc w:val="left"/>
    </w:pPr>
    <w:rPr>
      <w:rFonts w:ascii="Times New Roman" w:hAnsi="Times New Roman" w:cs="Times New Roman"/>
      <w:b/>
      <w:sz w:val="20"/>
      <w:szCs w:val="20"/>
    </w:rPr>
  </w:style>
  <w:style w:type="paragraph" w:customStyle="1" w:styleId="point">
    <w:name w:val="point"/>
    <w:basedOn w:val="Normal"/>
    <w:rsid w:val="00206116"/>
    <w:pPr>
      <w:numPr>
        <w:numId w:val="1"/>
      </w:numPr>
      <w:autoSpaceDE/>
      <w:adjustRightInd/>
      <w:spacing w:after="240"/>
      <w:ind w:left="778"/>
      <w:jc w:val="both"/>
    </w:pPr>
    <w:rPr>
      <w:bCs/>
      <w:iCs/>
      <w:sz w:val="20"/>
      <w:szCs w:val="22"/>
    </w:rPr>
  </w:style>
  <w:style w:type="character" w:customStyle="1" w:styleId="H3CompNameChar">
    <w:name w:val="H3CompName Char"/>
    <w:link w:val="H3CompName"/>
    <w:locked/>
    <w:rsid w:val="00206116"/>
    <w:rPr>
      <w:sz w:val="28"/>
      <w:szCs w:val="28"/>
    </w:rPr>
  </w:style>
  <w:style w:type="paragraph" w:customStyle="1" w:styleId="H3CompName">
    <w:name w:val="H3CompName"/>
    <w:basedOn w:val="Normal"/>
    <w:link w:val="H3CompNameChar"/>
    <w:qFormat/>
    <w:rsid w:val="00206116"/>
    <w:pPr>
      <w:autoSpaceDE/>
      <w:adjustRightInd/>
      <w:ind w:left="-720"/>
      <w:jc w:val="right"/>
    </w:pPr>
    <w:rPr>
      <w:rFonts w:asciiTheme="minorHAnsi" w:eastAsiaTheme="minorHAnsi" w:hAnsiTheme="minorHAnsi" w:cstheme="minorBidi"/>
      <w:sz w:val="28"/>
      <w:szCs w:val="28"/>
    </w:rPr>
  </w:style>
  <w:style w:type="character" w:customStyle="1" w:styleId="H4YearsEndedChar">
    <w:name w:val="H4YearsEnded Char"/>
    <w:link w:val="H4YearsEnded"/>
    <w:locked/>
    <w:rsid w:val="00206116"/>
  </w:style>
  <w:style w:type="paragraph" w:customStyle="1" w:styleId="H4YearsEnded">
    <w:name w:val="H4YearsEnded"/>
    <w:basedOn w:val="Header"/>
    <w:link w:val="H4YearsEndedChar"/>
    <w:qFormat/>
    <w:rsid w:val="00206116"/>
    <w:pPr>
      <w:pBdr>
        <w:bottom w:val="single" w:sz="12" w:space="1" w:color="auto"/>
      </w:pBdr>
      <w:tabs>
        <w:tab w:val="clear" w:pos="4320"/>
        <w:tab w:val="clear" w:pos="8640"/>
        <w:tab w:val="left" w:pos="9360"/>
      </w:tabs>
      <w:autoSpaceDE/>
      <w:adjustRightInd/>
      <w:jc w:val="right"/>
    </w:pPr>
    <w:rPr>
      <w:rFonts w:asciiTheme="minorHAnsi" w:eastAsiaTheme="minorHAnsi" w:hAnsiTheme="minorHAnsi" w:cstheme="minorBidi"/>
      <w:sz w:val="22"/>
      <w:szCs w:val="22"/>
    </w:rPr>
  </w:style>
  <w:style w:type="character" w:customStyle="1" w:styleId="B1TextChar">
    <w:name w:val="B1Text Char"/>
    <w:link w:val="B1Text"/>
    <w:locked/>
    <w:rsid w:val="00206116"/>
  </w:style>
  <w:style w:type="paragraph" w:customStyle="1" w:styleId="B1Text">
    <w:name w:val="B1Text"/>
    <w:basedOn w:val="Normal"/>
    <w:link w:val="B1TextChar"/>
    <w:qFormat/>
    <w:rsid w:val="00206116"/>
    <w:pPr>
      <w:widowControl w:val="0"/>
      <w:tabs>
        <w:tab w:val="left" w:pos="0"/>
      </w:tabs>
      <w:autoSpaceDE/>
      <w:adjustRightInd/>
      <w:snapToGrid w:val="0"/>
    </w:pPr>
    <w:rPr>
      <w:rFonts w:asciiTheme="minorHAnsi" w:eastAsiaTheme="minorHAnsi" w:hAnsiTheme="minorHAnsi" w:cstheme="minorBidi"/>
      <w:sz w:val="22"/>
      <w:szCs w:val="22"/>
    </w:rPr>
  </w:style>
  <w:style w:type="character" w:customStyle="1" w:styleId="H2PgTitleChar">
    <w:name w:val="H2PgTitle Char"/>
    <w:link w:val="H2PgTitle"/>
    <w:locked/>
    <w:rsid w:val="00206116"/>
  </w:style>
  <w:style w:type="paragraph" w:customStyle="1" w:styleId="H2PgTitle">
    <w:name w:val="H2PgTitle"/>
    <w:link w:val="H2PgTitleChar"/>
    <w:qFormat/>
    <w:rsid w:val="00206116"/>
    <w:pPr>
      <w:autoSpaceDN w:val="0"/>
      <w:spacing w:after="0" w:line="240" w:lineRule="auto"/>
      <w:jc w:val="right"/>
    </w:pPr>
  </w:style>
  <w:style w:type="character" w:customStyle="1" w:styleId="B3NotesSubHeadingChar">
    <w:name w:val="B3NotesSubHeading Char"/>
    <w:link w:val="B3NotesSubHeading"/>
    <w:locked/>
    <w:rsid w:val="00206116"/>
    <w:rPr>
      <w:b/>
    </w:rPr>
  </w:style>
  <w:style w:type="paragraph" w:customStyle="1" w:styleId="B3NotesSubHeading">
    <w:name w:val="B3NotesSubHeading"/>
    <w:basedOn w:val="BodyText"/>
    <w:link w:val="B3NotesSubHeadingChar"/>
    <w:qFormat/>
    <w:rsid w:val="00206116"/>
    <w:pPr>
      <w:widowControl w:val="0"/>
      <w:tabs>
        <w:tab w:val="left" w:pos="0"/>
      </w:tabs>
      <w:autoSpaceDE/>
      <w:adjustRightInd/>
      <w:snapToGrid w:val="0"/>
      <w:spacing w:after="0"/>
    </w:pPr>
    <w:rPr>
      <w:rFonts w:asciiTheme="minorHAnsi" w:eastAsiaTheme="minorHAnsi" w:hAnsiTheme="minorHAnsi" w:cstheme="minorBidi"/>
      <w:b/>
      <w:sz w:val="22"/>
      <w:szCs w:val="22"/>
    </w:rPr>
  </w:style>
  <w:style w:type="character" w:customStyle="1" w:styleId="B2NotesNumberingChar">
    <w:name w:val="B2NotesNumbering Char"/>
    <w:link w:val="B2NotesNumbering"/>
    <w:locked/>
    <w:rsid w:val="00206116"/>
    <w:rPr>
      <w:b/>
      <w:sz w:val="24"/>
      <w:szCs w:val="24"/>
    </w:rPr>
  </w:style>
  <w:style w:type="paragraph" w:customStyle="1" w:styleId="B2NotesNumbering">
    <w:name w:val="B2NotesNumbering"/>
    <w:basedOn w:val="Normal"/>
    <w:link w:val="B2NotesNumberingChar"/>
    <w:qFormat/>
    <w:rsid w:val="00206116"/>
    <w:pPr>
      <w:numPr>
        <w:numId w:val="2"/>
      </w:numPr>
      <w:tabs>
        <w:tab w:val="left" w:pos="1080"/>
      </w:tabs>
      <w:autoSpaceDE/>
      <w:adjustRightInd/>
      <w:snapToGrid w:val="0"/>
    </w:pPr>
    <w:rPr>
      <w:rFonts w:asciiTheme="minorHAnsi" w:eastAsiaTheme="minorHAnsi" w:hAnsiTheme="minorHAnsi" w:cstheme="minorBidi"/>
      <w:b/>
    </w:rPr>
  </w:style>
  <w:style w:type="character" w:styleId="FootnoteReference">
    <w:name w:val="footnote reference"/>
    <w:basedOn w:val="DefaultParagraphFont"/>
    <w:uiPriority w:val="99"/>
    <w:unhideWhenUsed/>
    <w:rsid w:val="00206116"/>
    <w:rPr>
      <w:spacing w:val="0"/>
      <w:vertAlign w:val="superscript"/>
    </w:rPr>
  </w:style>
  <w:style w:type="character" w:styleId="CommentReference">
    <w:name w:val="annotation reference"/>
    <w:basedOn w:val="DefaultParagraphFont"/>
    <w:semiHidden/>
    <w:unhideWhenUsed/>
    <w:rsid w:val="00206116"/>
    <w:rPr>
      <w:spacing w:val="0"/>
      <w:sz w:val="16"/>
      <w:szCs w:val="16"/>
    </w:rPr>
  </w:style>
  <w:style w:type="character" w:customStyle="1" w:styleId="Char">
    <w:name w:val="Char"/>
    <w:basedOn w:val="DefaultParagraphFont"/>
    <w:rsid w:val="00206116"/>
    <w:rPr>
      <w:spacing w:val="0"/>
      <w:sz w:val="24"/>
      <w:szCs w:val="24"/>
    </w:rPr>
  </w:style>
  <w:style w:type="character" w:customStyle="1" w:styleId="articletext1">
    <w:name w:val="articletext1"/>
    <w:basedOn w:val="DefaultParagraphFont"/>
    <w:rsid w:val="00206116"/>
    <w:rPr>
      <w:rFonts w:ascii="Trebuchet MS" w:hAnsi="Trebuchet MS" w:cs="Trebuchet MS" w:hint="default"/>
      <w:strike w:val="0"/>
      <w:dstrike w:val="0"/>
      <w:spacing w:val="0"/>
      <w:sz w:val="14"/>
      <w:szCs w:val="14"/>
      <w:u w:val="none"/>
      <w:effect w:val="none"/>
    </w:rPr>
  </w:style>
  <w:style w:type="character" w:customStyle="1" w:styleId="DeltaViewInsertion">
    <w:name w:val="DeltaView Insertion"/>
    <w:rsid w:val="00206116"/>
    <w:rPr>
      <w:color w:val="0000FF"/>
      <w:spacing w:val="0"/>
      <w:u w:val="double"/>
    </w:rPr>
  </w:style>
  <w:style w:type="character" w:customStyle="1" w:styleId="DeltaViewDeletion">
    <w:name w:val="DeltaView Deletion"/>
    <w:rsid w:val="00206116"/>
    <w:rPr>
      <w:strike/>
      <w:color w:val="FF0000"/>
      <w:spacing w:val="0"/>
    </w:rPr>
  </w:style>
  <w:style w:type="character" w:customStyle="1" w:styleId="DeltaViewMoveSource">
    <w:name w:val="DeltaView Move Source"/>
    <w:rsid w:val="00206116"/>
    <w:rPr>
      <w:strike/>
      <w:color w:val="00C000"/>
      <w:spacing w:val="0"/>
    </w:rPr>
  </w:style>
  <w:style w:type="character" w:customStyle="1" w:styleId="DeltaViewMoveDestination">
    <w:name w:val="DeltaView Move Destination"/>
    <w:rsid w:val="00206116"/>
    <w:rPr>
      <w:color w:val="00C000"/>
      <w:spacing w:val="0"/>
      <w:u w:val="double"/>
    </w:rPr>
  </w:style>
  <w:style w:type="character" w:customStyle="1" w:styleId="DeltaViewChangeNumber">
    <w:name w:val="DeltaView Change Number"/>
    <w:rsid w:val="00206116"/>
    <w:rPr>
      <w:color w:val="000000"/>
      <w:spacing w:val="0"/>
      <w:vertAlign w:val="superscript"/>
    </w:rPr>
  </w:style>
  <w:style w:type="character" w:customStyle="1" w:styleId="DeltaViewDelimiter">
    <w:name w:val="DeltaView Delimiter"/>
    <w:rsid w:val="00206116"/>
    <w:rPr>
      <w:spacing w:val="0"/>
    </w:rPr>
  </w:style>
  <w:style w:type="character" w:customStyle="1" w:styleId="DeltaViewFormatChange">
    <w:name w:val="DeltaView Format Change"/>
    <w:rsid w:val="00206116"/>
    <w:rPr>
      <w:color w:val="000000"/>
      <w:spacing w:val="0"/>
    </w:rPr>
  </w:style>
  <w:style w:type="character" w:customStyle="1" w:styleId="DeltaViewMovedDeletion">
    <w:name w:val="DeltaView Moved Deletion"/>
    <w:rsid w:val="00206116"/>
    <w:rPr>
      <w:strike/>
      <w:color w:val="C08080"/>
      <w:spacing w:val="0"/>
    </w:rPr>
  </w:style>
  <w:style w:type="character" w:customStyle="1" w:styleId="DeltaViewComment">
    <w:name w:val="DeltaView Comment"/>
    <w:basedOn w:val="DefaultParagraphFont"/>
    <w:rsid w:val="00206116"/>
    <w:rPr>
      <w:color w:val="000000"/>
      <w:spacing w:val="0"/>
    </w:rPr>
  </w:style>
  <w:style w:type="character" w:customStyle="1" w:styleId="DeltaViewStyleChangeText">
    <w:name w:val="DeltaView Style Change Text"/>
    <w:rsid w:val="00206116"/>
    <w:rPr>
      <w:color w:val="000000"/>
      <w:spacing w:val="0"/>
      <w:u w:val="double"/>
    </w:rPr>
  </w:style>
  <w:style w:type="character" w:customStyle="1" w:styleId="DeltaViewStyleChangeLabel">
    <w:name w:val="DeltaView Style Change Label"/>
    <w:rsid w:val="00206116"/>
    <w:rPr>
      <w:color w:val="000000"/>
      <w:spacing w:val="0"/>
    </w:rPr>
  </w:style>
  <w:style w:type="character" w:customStyle="1" w:styleId="DeltaViewInsertedComment">
    <w:name w:val="DeltaView Inserted Comment"/>
    <w:basedOn w:val="DeltaViewComment"/>
    <w:rsid w:val="00206116"/>
    <w:rPr>
      <w:color w:val="0000FF"/>
      <w:spacing w:val="0"/>
      <w:u w:val="double"/>
    </w:rPr>
  </w:style>
  <w:style w:type="character" w:customStyle="1" w:styleId="DeltaViewDeletedComment">
    <w:name w:val="DeltaView Deleted Comment"/>
    <w:basedOn w:val="DeltaViewComment"/>
    <w:rsid w:val="00206116"/>
    <w:rPr>
      <w:strike/>
      <w:color w:val="FF0000"/>
      <w:spacing w:val="0"/>
    </w:rPr>
  </w:style>
  <w:style w:type="character" w:customStyle="1" w:styleId="Coverfooter">
    <w:name w:val="Cover footer"/>
    <w:rsid w:val="00206116"/>
    <w:rPr>
      <w:rFonts w:ascii="Arial Narrow" w:hAnsi="Arial Narrow" w:hint="default"/>
      <w:sz w:val="24"/>
      <w:szCs w:val="24"/>
    </w:rPr>
  </w:style>
  <w:style w:type="table" w:styleId="TableGrid">
    <w:name w:val="Table Grid"/>
    <w:basedOn w:val="TableNormal"/>
    <w:uiPriority w:val="59"/>
    <w:rsid w:val="0020611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rsid w:val="00206116"/>
    <w:pPr>
      <w:spacing w:after="0" w:line="240" w:lineRule="auto"/>
      <w:jc w:val="center"/>
    </w:pPr>
    <w:rPr>
      <w:rFonts w:ascii="Times New Roman" w:eastAsia="Times New Roman" w:hAnsi="Times New Roman" w:cs="Times New Roman"/>
      <w:sz w:val="24"/>
      <w:szCs w:val="20"/>
    </w:rPr>
    <w:tblPr/>
    <w:tcPr>
      <w:vAlign w:val="center"/>
    </w:tcPr>
  </w:style>
  <w:style w:type="table" w:customStyle="1" w:styleId="TableGrid1">
    <w:name w:val="Table Grid1"/>
    <w:basedOn w:val="TableNormal"/>
    <w:rsid w:val="00206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206116"/>
  </w:style>
  <w:style w:type="character" w:styleId="PageNumber">
    <w:name w:val="page number"/>
    <w:basedOn w:val="DefaultParagraphFont"/>
    <w:rsid w:val="00206116"/>
  </w:style>
  <w:style w:type="character" w:customStyle="1" w:styleId="administrator">
    <w:name w:val="administrator"/>
    <w:semiHidden/>
    <w:rsid w:val="00206116"/>
    <w:rPr>
      <w:rFonts w:ascii="Arial" w:hAnsi="Arial" w:cs="Arial"/>
      <w:b w:val="0"/>
      <w:bCs w:val="0"/>
      <w:i w:val="0"/>
      <w:iCs w:val="0"/>
      <w:strike w:val="0"/>
      <w:color w:val="auto"/>
      <w:sz w:val="24"/>
      <w:szCs w:val="24"/>
      <w:u w:val="none"/>
    </w:rPr>
  </w:style>
  <w:style w:type="paragraph" w:styleId="BlockText">
    <w:name w:val="Block Text"/>
    <w:basedOn w:val="Normal"/>
    <w:rsid w:val="00206116"/>
    <w:pPr>
      <w:autoSpaceDE/>
      <w:autoSpaceDN/>
      <w:adjustRightInd/>
      <w:ind w:left="540" w:right="-360"/>
      <w:jc w:val="both"/>
    </w:pPr>
    <w:rPr>
      <w:szCs w:val="20"/>
    </w:rPr>
  </w:style>
  <w:style w:type="paragraph" w:customStyle="1" w:styleId="BodyText312pt">
    <w:name w:val="Body Text 3 + 12 pt"/>
    <w:aliases w:val="Justified,Left:  0.5&quot;,After:  0 pt,Line spacing:"/>
    <w:basedOn w:val="BodyText3"/>
    <w:rsid w:val="00206116"/>
    <w:pPr>
      <w:autoSpaceDE/>
      <w:autoSpaceDN/>
      <w:adjustRightInd/>
      <w:spacing w:after="0" w:line="180" w:lineRule="auto"/>
      <w:ind w:left="720"/>
      <w:jc w:val="both"/>
    </w:pPr>
    <w:rPr>
      <w:sz w:val="24"/>
      <w:szCs w:val="24"/>
    </w:rPr>
  </w:style>
  <w:style w:type="table" w:customStyle="1" w:styleId="TableGrid2">
    <w:name w:val="Table Grid2"/>
    <w:basedOn w:val="TableNormal"/>
    <w:next w:val="TableGrid"/>
    <w:rsid w:val="002061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iblinc.com"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135CB-1D7B-4298-81F9-A3A2371B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16</Pages>
  <Words>4135</Words>
  <Characters>23572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Dolan</dc:creator>
  <cp:lastModifiedBy>Chris McEntee</cp:lastModifiedBy>
  <cp:revision>11</cp:revision>
  <cp:lastPrinted>2021-12-02T21:44:00Z</cp:lastPrinted>
  <dcterms:created xsi:type="dcterms:W3CDTF">2021-11-30T19:28:00Z</dcterms:created>
  <dcterms:modified xsi:type="dcterms:W3CDTF">2021-12-02T21:44:00Z</dcterms:modified>
</cp:coreProperties>
</file>